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767A0" w:rsidP="00102FFF">
            <w:pPr>
              <w:rPr>
                <w:b/>
              </w:rPr>
            </w:pPr>
            <w:r>
              <w:rPr>
                <w:rStyle w:val="Firstpagetablebold"/>
              </w:rPr>
              <w:t>1</w:t>
            </w:r>
            <w:r w:rsidR="00102FFF">
              <w:rPr>
                <w:rStyle w:val="Firstpagetablebold"/>
              </w:rPr>
              <w:t>5</w:t>
            </w:r>
            <w:r>
              <w:rPr>
                <w:rStyle w:val="Firstpagetablebold"/>
              </w:rPr>
              <w:t xml:space="preserve"> </w:t>
            </w:r>
            <w:r w:rsidR="00102FFF">
              <w:rPr>
                <w:rStyle w:val="Firstpagetablebold"/>
              </w:rPr>
              <w:t xml:space="preserve">September </w:t>
            </w:r>
            <w:r w:rsidR="00A159C7">
              <w:rPr>
                <w:rStyle w:val="Firstpagetablebold"/>
              </w:rPr>
              <w:t>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159C7" w:rsidP="004A6D2F">
            <w:pPr>
              <w:rPr>
                <w:rStyle w:val="Firstpagetablebold"/>
              </w:rPr>
            </w:pPr>
            <w:r w:rsidRPr="00C67FC9">
              <w:rPr>
                <w:rStyle w:val="Firstpagetablebold"/>
              </w:rPr>
              <w:t>Head of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92F63" w:rsidP="004A6D2F">
            <w:pPr>
              <w:rPr>
                <w:rStyle w:val="Firstpagetablebold"/>
              </w:rPr>
            </w:pPr>
            <w:r>
              <w:rPr>
                <w:rFonts w:cs="Arial"/>
                <w:b/>
                <w:bCs/>
              </w:rPr>
              <w:t>Community Centre Strategy 2016 to 2020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95F18" w:rsidP="00C92F63">
            <w:r>
              <w:t xml:space="preserve">To request that the City Executive Board approves the Community Centres Strategy which has been updated following </w:t>
            </w:r>
            <w:r w:rsidR="000F16D1">
              <w:t>consultation</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A159C7">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4E3B5F" w:rsidP="000F16D1">
            <w:r>
              <w:t>C</w:t>
            </w:r>
            <w:r w:rsidR="000F16D1">
              <w:t>llr</w:t>
            </w:r>
            <w:r>
              <w:t xml:space="preserve"> Christine </w:t>
            </w:r>
            <w:proofErr w:type="spellStart"/>
            <w:r>
              <w:t>Simm</w:t>
            </w:r>
            <w:proofErr w:type="spellEnd"/>
            <w:r w:rsidR="000F16D1">
              <w:t>, Culture and Communities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159C7" w:rsidP="004E3B5F">
            <w:r>
              <w:t xml:space="preserve">Strong, Active Communities; </w:t>
            </w:r>
            <w:r w:rsidR="004E3B5F">
              <w:t xml:space="preserve">Efficient, Effective Council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0F16D1" w:rsidRPr="001356F1" w:rsidRDefault="004E3B5F" w:rsidP="004E3B5F">
            <w:r>
              <w:t xml:space="preserve">Leisure &amp; Wellbeing Strategy </w:t>
            </w:r>
          </w:p>
        </w:tc>
      </w:tr>
      <w:tr w:rsidR="005F7F7E" w:rsidRPr="00975B07" w:rsidTr="00A159C7">
        <w:trPr>
          <w:trHeight w:val="413"/>
        </w:trPr>
        <w:tc>
          <w:tcPr>
            <w:tcW w:w="8845" w:type="dxa"/>
            <w:gridSpan w:val="3"/>
            <w:tcBorders>
              <w:bottom w:val="single" w:sz="8" w:space="0" w:color="000000"/>
            </w:tcBorders>
          </w:tcPr>
          <w:p w:rsidR="005F7F7E" w:rsidRPr="00975B07" w:rsidRDefault="000F16D1" w:rsidP="004A6D2F">
            <w:r>
              <w:rPr>
                <w:rStyle w:val="Firstpagetablebold"/>
              </w:rPr>
              <w:t>Recommendation</w:t>
            </w:r>
            <w:r w:rsidR="005F7F7E">
              <w:rPr>
                <w:rStyle w:val="Firstpagetablebold"/>
              </w:rPr>
              <w:t>:</w:t>
            </w:r>
            <w:r>
              <w:rPr>
                <w:rStyle w:val="Firstpagetablebold"/>
              </w:rPr>
              <w:t xml:space="preserve"> </w:t>
            </w:r>
            <w:r w:rsidR="005F7F7E">
              <w:rPr>
                <w:rStyle w:val="Firstpagetablebold"/>
              </w:rPr>
              <w:t>That the City Executive Board resolves to:</w:t>
            </w:r>
          </w:p>
        </w:tc>
      </w:tr>
      <w:tr w:rsidR="0030208D" w:rsidRPr="00975B07" w:rsidTr="00A159C7">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AE6BAA" w:rsidRDefault="000F16D1" w:rsidP="002069B3">
            <w:r w:rsidRPr="000F16D1">
              <w:rPr>
                <w:rFonts w:cs="Arial"/>
                <w:b/>
              </w:rPr>
              <w:t>A</w:t>
            </w:r>
            <w:r w:rsidR="00C92F63" w:rsidRPr="000F16D1">
              <w:rPr>
                <w:rFonts w:cs="Arial"/>
                <w:b/>
              </w:rPr>
              <w:t>dopt</w:t>
            </w:r>
            <w:r w:rsidR="00C92F63">
              <w:rPr>
                <w:rFonts w:cs="Arial"/>
              </w:rPr>
              <w:t xml:space="preserve"> the Community Centre Strategy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C225C8" w:rsidP="00A159C7">
            <w:r>
              <w:rPr>
                <w:rFonts w:cs="Arial"/>
              </w:rPr>
              <w:t xml:space="preserve">The Community Centres Strategy </w:t>
            </w:r>
          </w:p>
        </w:tc>
        <w:bookmarkStart w:id="0" w:name="_GoBack"/>
        <w:bookmarkEnd w:id="0"/>
      </w:tr>
      <w:tr w:rsidR="00ED5860" w:rsidRPr="00975B07" w:rsidTr="00A159C7">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A159C7" w:rsidP="004A6D2F">
            <w:r>
              <w:t>Risk Register</w:t>
            </w:r>
          </w:p>
        </w:tc>
      </w:tr>
      <w:tr w:rsidR="0030208D" w:rsidRPr="00975B07" w:rsidTr="00A159C7">
        <w:tc>
          <w:tcPr>
            <w:tcW w:w="2438" w:type="dxa"/>
            <w:tcBorders>
              <w:top w:val="nil"/>
              <w:left w:val="single" w:sz="8" w:space="0" w:color="000000"/>
              <w:bottom w:val="single" w:sz="4" w:space="0" w:color="auto"/>
              <w:right w:val="nil"/>
            </w:tcBorders>
            <w:shd w:val="clear" w:color="auto" w:fill="auto"/>
          </w:tcPr>
          <w:p w:rsidR="004E3B5F" w:rsidRDefault="004E3B5F" w:rsidP="004A6D2F">
            <w:r w:rsidRPr="00975B07">
              <w:t>Appendix 3</w:t>
            </w:r>
          </w:p>
          <w:p w:rsidR="0030208D" w:rsidRPr="00975B07" w:rsidRDefault="0030208D" w:rsidP="004A6D2F">
            <w:r w:rsidRPr="00975B07">
              <w:t xml:space="preserve">Appendix </w:t>
            </w:r>
            <w:r w:rsidR="004E3B5F">
              <w:t>4</w:t>
            </w:r>
          </w:p>
        </w:tc>
        <w:tc>
          <w:tcPr>
            <w:tcW w:w="6406" w:type="dxa"/>
            <w:tcBorders>
              <w:top w:val="nil"/>
              <w:left w:val="nil"/>
              <w:bottom w:val="single" w:sz="4" w:space="0" w:color="auto"/>
              <w:right w:val="single" w:sz="8" w:space="0" w:color="000000"/>
            </w:tcBorders>
          </w:tcPr>
          <w:p w:rsidR="004E3B5F" w:rsidRDefault="00A159C7" w:rsidP="004A6D2F">
            <w:pPr>
              <w:rPr>
                <w:rFonts w:cs="Arial"/>
              </w:rPr>
            </w:pPr>
            <w:r w:rsidRPr="007662D9">
              <w:rPr>
                <w:rFonts w:cs="Arial"/>
              </w:rPr>
              <w:t>Initial Equality Impact Assessment</w:t>
            </w:r>
          </w:p>
          <w:p w:rsidR="004E3B5F" w:rsidRPr="004E3B5F" w:rsidRDefault="004E3B5F" w:rsidP="004E3B5F">
            <w:pPr>
              <w:rPr>
                <w:rFonts w:cs="Arial"/>
              </w:rPr>
            </w:pPr>
            <w:r>
              <w:rPr>
                <w:rFonts w:cs="Arial"/>
              </w:rPr>
              <w:t xml:space="preserve">Summary of the Consultation </w:t>
            </w:r>
            <w:r w:rsidR="00F11DBB">
              <w:rPr>
                <w:rFonts w:cs="Arial"/>
              </w:rPr>
              <w:t>feedback</w:t>
            </w:r>
          </w:p>
        </w:tc>
      </w:tr>
    </w:tbl>
    <w:p w:rsidR="00C92F63" w:rsidRDefault="00C92F63" w:rsidP="00AE6BAA">
      <w:pPr>
        <w:pStyle w:val="Heading1"/>
        <w:jc w:val="both"/>
      </w:pPr>
    </w:p>
    <w:p w:rsidR="00C92F63" w:rsidRDefault="004E3B5F" w:rsidP="000F16D1">
      <w:pPr>
        <w:pStyle w:val="Heading1"/>
        <w:jc w:val="both"/>
      </w:pPr>
      <w:r>
        <w:t>I</w:t>
      </w:r>
      <w:r w:rsidR="00F66DCA" w:rsidRPr="001356F1">
        <w:t>ntroduction and b</w:t>
      </w:r>
      <w:r w:rsidR="00151888" w:rsidRPr="001356F1">
        <w:t>ackground</w:t>
      </w:r>
      <w:r w:rsidR="00404032" w:rsidRPr="001356F1">
        <w:t xml:space="preserve"> </w:t>
      </w:r>
    </w:p>
    <w:p w:rsidR="00C92F63" w:rsidRDefault="00C92F63" w:rsidP="00C92F63">
      <w:pPr>
        <w:numPr>
          <w:ilvl w:val="0"/>
          <w:numId w:val="42"/>
        </w:numPr>
        <w:autoSpaceDE w:val="0"/>
        <w:autoSpaceDN w:val="0"/>
        <w:adjustRightInd w:val="0"/>
        <w:spacing w:after="0"/>
        <w:ind w:left="426" w:hanging="426"/>
        <w:jc w:val="both"/>
        <w:rPr>
          <w:rFonts w:cs="TTB344o00"/>
        </w:rPr>
      </w:pPr>
      <w:r w:rsidRPr="00881D20">
        <w:rPr>
          <w:rFonts w:cs="TTB344o00"/>
        </w:rPr>
        <w:t xml:space="preserve">The draft </w:t>
      </w:r>
      <w:r>
        <w:rPr>
          <w:rFonts w:cs="TTB344o00"/>
        </w:rPr>
        <w:t>Community Centres</w:t>
      </w:r>
      <w:r w:rsidRPr="00881D20">
        <w:rPr>
          <w:rFonts w:cs="TTB344o00"/>
        </w:rPr>
        <w:t xml:space="preserve"> Strategy</w:t>
      </w:r>
      <w:r w:rsidR="004E3B5F">
        <w:rPr>
          <w:rFonts w:cs="TTB344o00"/>
        </w:rPr>
        <w:t xml:space="preserve"> </w:t>
      </w:r>
      <w:r w:rsidRPr="00881D20">
        <w:rPr>
          <w:rFonts w:cs="TTB344o00"/>
        </w:rPr>
        <w:t xml:space="preserve">was approved for public consultation by the City Executive Board on the </w:t>
      </w:r>
      <w:r>
        <w:rPr>
          <w:rFonts w:cs="TTB344o00"/>
        </w:rPr>
        <w:t>17 December 2015</w:t>
      </w:r>
      <w:r w:rsidRPr="00881D20">
        <w:rPr>
          <w:rFonts w:cs="TTB344o00"/>
        </w:rPr>
        <w:t xml:space="preserve">. </w:t>
      </w:r>
      <w:r w:rsidR="004E3B5F">
        <w:rPr>
          <w:rFonts w:cs="TTB344o00"/>
        </w:rPr>
        <w:t xml:space="preserve">We received 181 responses to the consultation, most of which were from </w:t>
      </w:r>
      <w:r w:rsidR="00A52DE3">
        <w:rPr>
          <w:rFonts w:cs="TTB344o00"/>
        </w:rPr>
        <w:t xml:space="preserve">representative </w:t>
      </w:r>
      <w:r w:rsidR="004E3B5F">
        <w:rPr>
          <w:rFonts w:cs="TTB344o00"/>
        </w:rPr>
        <w:t xml:space="preserve">organisations. </w:t>
      </w:r>
      <w:r w:rsidRPr="00881D20">
        <w:rPr>
          <w:rFonts w:cs="TTB344o00"/>
        </w:rPr>
        <w:t xml:space="preserve">The consultation generated some very useful feedback which has </w:t>
      </w:r>
      <w:r w:rsidR="00095F18">
        <w:rPr>
          <w:rFonts w:cs="TTB344o00"/>
        </w:rPr>
        <w:t xml:space="preserve">shaped and </w:t>
      </w:r>
      <w:r w:rsidRPr="00881D20">
        <w:rPr>
          <w:rFonts w:cs="TTB344o00"/>
        </w:rPr>
        <w:t>improve</w:t>
      </w:r>
      <w:r w:rsidR="00095F18">
        <w:rPr>
          <w:rFonts w:cs="TTB344o00"/>
        </w:rPr>
        <w:t>d</w:t>
      </w:r>
      <w:r w:rsidRPr="00881D20">
        <w:rPr>
          <w:rFonts w:cs="TTB344o00"/>
        </w:rPr>
        <w:t xml:space="preserve"> the strategy.</w:t>
      </w:r>
    </w:p>
    <w:p w:rsidR="00C92F63" w:rsidRDefault="00C92F63" w:rsidP="00C92F63">
      <w:pPr>
        <w:autoSpaceDE w:val="0"/>
        <w:autoSpaceDN w:val="0"/>
        <w:adjustRightInd w:val="0"/>
        <w:spacing w:after="0"/>
        <w:jc w:val="both"/>
        <w:rPr>
          <w:rFonts w:cs="TTB344o00"/>
        </w:rPr>
      </w:pPr>
    </w:p>
    <w:p w:rsidR="00C92F63" w:rsidRPr="00C92F63" w:rsidRDefault="00C92F63" w:rsidP="00C92F63">
      <w:pPr>
        <w:pStyle w:val="ListParagraph"/>
        <w:numPr>
          <w:ilvl w:val="0"/>
          <w:numId w:val="42"/>
        </w:numPr>
        <w:jc w:val="both"/>
        <w:rPr>
          <w:rFonts w:cs="Arial"/>
        </w:rPr>
      </w:pPr>
      <w:r w:rsidRPr="00C92F63">
        <w:rPr>
          <w:rFonts w:cs="Arial"/>
        </w:rPr>
        <w:t>The strategy identifie</w:t>
      </w:r>
      <w:r>
        <w:rPr>
          <w:rFonts w:cs="Arial"/>
        </w:rPr>
        <w:t>d</w:t>
      </w:r>
      <w:r w:rsidRPr="00C92F63">
        <w:rPr>
          <w:rFonts w:cs="Arial"/>
        </w:rPr>
        <w:t xml:space="preserve"> eight priority themes, four under each of two action areas:  Improving Facilities and Sustainable Management.</w:t>
      </w:r>
      <w:r>
        <w:rPr>
          <w:rFonts w:cs="Arial"/>
        </w:rPr>
        <w:t xml:space="preserve"> These themes were in the main </w:t>
      </w:r>
      <w:r>
        <w:rPr>
          <w:rFonts w:cs="Arial"/>
        </w:rPr>
        <w:lastRenderedPageBreak/>
        <w:t xml:space="preserve">supported through the consultation process and while we have made a number of changes to the strategy as shown in </w:t>
      </w:r>
      <w:r w:rsidRPr="004E3B5F">
        <w:rPr>
          <w:rFonts w:cs="Arial"/>
        </w:rPr>
        <w:t xml:space="preserve">appendix </w:t>
      </w:r>
      <w:r w:rsidR="004E3B5F" w:rsidRPr="004E3B5F">
        <w:rPr>
          <w:rFonts w:cs="Arial"/>
        </w:rPr>
        <w:t>four,</w:t>
      </w:r>
      <w:r>
        <w:rPr>
          <w:rFonts w:cs="Arial"/>
        </w:rPr>
        <w:t xml:space="preserve"> the priority themes have remained the same.</w:t>
      </w:r>
    </w:p>
    <w:p w:rsidR="00EE5ECA" w:rsidRDefault="00EE5ECA" w:rsidP="00EE5ECA">
      <w:pPr>
        <w:jc w:val="both"/>
        <w:rPr>
          <w:rFonts w:cs="Arial"/>
          <w:b/>
        </w:rPr>
      </w:pPr>
    </w:p>
    <w:p w:rsidR="00EE5ECA" w:rsidRPr="003D1AC8" w:rsidRDefault="00EE5ECA" w:rsidP="00EE5ECA">
      <w:pPr>
        <w:jc w:val="both"/>
        <w:rPr>
          <w:rFonts w:cs="Arial"/>
          <w:b/>
        </w:rPr>
      </w:pPr>
      <w:r w:rsidRPr="003D1AC8">
        <w:rPr>
          <w:rFonts w:cs="Arial"/>
          <w:b/>
        </w:rPr>
        <w:t xml:space="preserve">Improving Facilities </w:t>
      </w:r>
    </w:p>
    <w:p w:rsidR="00EE5ECA" w:rsidRPr="003D1AC8" w:rsidRDefault="00EE5ECA" w:rsidP="00EE5ECA">
      <w:pPr>
        <w:numPr>
          <w:ilvl w:val="0"/>
          <w:numId w:val="50"/>
        </w:numPr>
        <w:spacing w:after="0"/>
        <w:jc w:val="both"/>
        <w:rPr>
          <w:rFonts w:cs="Arial"/>
        </w:rPr>
      </w:pPr>
      <w:bookmarkStart w:id="1" w:name="_Ref454524433"/>
      <w:r>
        <w:rPr>
          <w:rFonts w:cs="Arial"/>
        </w:rPr>
        <w:t xml:space="preserve">Establish Rose Hill Community Centre as a widely used and inclusive </w:t>
      </w:r>
      <w:r w:rsidRPr="003D1AC8">
        <w:rPr>
          <w:rFonts w:cs="Arial"/>
        </w:rPr>
        <w:t>community hub.</w:t>
      </w:r>
      <w:bookmarkEnd w:id="1"/>
      <w:r w:rsidRPr="003D1AC8">
        <w:rPr>
          <w:rFonts w:cs="Arial"/>
        </w:rPr>
        <w:t xml:space="preserve"> </w:t>
      </w:r>
    </w:p>
    <w:p w:rsidR="00EE5ECA" w:rsidRPr="003D1AC8" w:rsidRDefault="00EE5ECA" w:rsidP="00EE5ECA">
      <w:pPr>
        <w:numPr>
          <w:ilvl w:val="0"/>
          <w:numId w:val="50"/>
        </w:numPr>
        <w:spacing w:after="0"/>
        <w:jc w:val="both"/>
        <w:rPr>
          <w:rFonts w:cs="Arial"/>
        </w:rPr>
      </w:pPr>
      <w:r w:rsidRPr="003D1AC8">
        <w:rPr>
          <w:rFonts w:cs="Arial"/>
        </w:rPr>
        <w:t>Draw up development plans for the Blackbird Leys and Barton Community Centres aimed at widening and improving the range of functions and activities which they offer, and securing effective community involvement in the management of these centres.</w:t>
      </w:r>
    </w:p>
    <w:p w:rsidR="00EE5ECA" w:rsidRPr="00611C52" w:rsidRDefault="00EE5ECA" w:rsidP="00EE5ECA">
      <w:pPr>
        <w:numPr>
          <w:ilvl w:val="0"/>
          <w:numId w:val="50"/>
        </w:numPr>
        <w:spacing w:after="0"/>
        <w:jc w:val="both"/>
        <w:rPr>
          <w:rFonts w:cs="Arial"/>
        </w:rPr>
      </w:pPr>
      <w:r>
        <w:rPr>
          <w:rFonts w:cs="Arial"/>
        </w:rPr>
        <w:t>C</w:t>
      </w:r>
      <w:r w:rsidRPr="00611C52">
        <w:rPr>
          <w:rFonts w:cs="Arial"/>
        </w:rPr>
        <w:t xml:space="preserve">onsider the feasibility study </w:t>
      </w:r>
      <w:r>
        <w:rPr>
          <w:rFonts w:cs="Arial"/>
        </w:rPr>
        <w:t>on</w:t>
      </w:r>
      <w:r w:rsidRPr="00611C52">
        <w:rPr>
          <w:rFonts w:cs="Arial"/>
        </w:rPr>
        <w:t xml:space="preserve"> </w:t>
      </w:r>
      <w:r>
        <w:rPr>
          <w:rFonts w:cs="Arial"/>
        </w:rPr>
        <w:t xml:space="preserve">the </w:t>
      </w:r>
      <w:r w:rsidRPr="00611C52">
        <w:rPr>
          <w:rFonts w:cs="Arial"/>
        </w:rPr>
        <w:t>development</w:t>
      </w:r>
      <w:r>
        <w:rPr>
          <w:rFonts w:cs="Arial"/>
        </w:rPr>
        <w:t xml:space="preserve"> of </w:t>
      </w:r>
      <w:r w:rsidRPr="00611C52">
        <w:rPr>
          <w:rFonts w:cs="Arial"/>
        </w:rPr>
        <w:t xml:space="preserve">East Oxford Community Centre and </w:t>
      </w:r>
      <w:r>
        <w:rPr>
          <w:rFonts w:cs="Arial"/>
        </w:rPr>
        <w:t>w</w:t>
      </w:r>
      <w:r w:rsidRPr="00611C52">
        <w:rPr>
          <w:rFonts w:cs="Arial"/>
        </w:rPr>
        <w:t xml:space="preserve">ork with the Reference Group and stakeholders to extend and improve the range of activities offered at the </w:t>
      </w:r>
      <w:r>
        <w:rPr>
          <w:rFonts w:cs="Arial"/>
        </w:rPr>
        <w:t>centre</w:t>
      </w:r>
      <w:r w:rsidRPr="00611C52">
        <w:rPr>
          <w:rFonts w:cs="Arial"/>
        </w:rPr>
        <w:t xml:space="preserve">. </w:t>
      </w:r>
    </w:p>
    <w:p w:rsidR="00EE5ECA" w:rsidRPr="003D1AC8" w:rsidRDefault="00EE5ECA" w:rsidP="00EE5ECA">
      <w:pPr>
        <w:pStyle w:val="ListParagraph"/>
        <w:numPr>
          <w:ilvl w:val="0"/>
          <w:numId w:val="50"/>
        </w:numPr>
        <w:tabs>
          <w:tab w:val="clear" w:pos="426"/>
        </w:tabs>
        <w:spacing w:after="0"/>
        <w:contextualSpacing/>
        <w:jc w:val="both"/>
        <w:rPr>
          <w:sz w:val="22"/>
          <w:szCs w:val="22"/>
        </w:rPr>
      </w:pPr>
      <w:r w:rsidRPr="003D1AC8">
        <w:rPr>
          <w:sz w:val="22"/>
          <w:szCs w:val="22"/>
        </w:rPr>
        <w:t>Develop a prioritised maintenance plan for all centres with a five year time horizon.</w:t>
      </w:r>
    </w:p>
    <w:p w:rsidR="00EE5ECA" w:rsidRPr="003D1AC8" w:rsidRDefault="00EE5ECA" w:rsidP="00EE5ECA">
      <w:pPr>
        <w:jc w:val="both"/>
        <w:rPr>
          <w:rFonts w:cs="Arial"/>
          <w:b/>
        </w:rPr>
      </w:pPr>
    </w:p>
    <w:p w:rsidR="00EE5ECA" w:rsidRPr="003D1AC8" w:rsidRDefault="00EE5ECA" w:rsidP="00EE5ECA">
      <w:pPr>
        <w:jc w:val="both"/>
        <w:rPr>
          <w:rFonts w:cs="Arial"/>
          <w:b/>
        </w:rPr>
      </w:pPr>
      <w:r w:rsidRPr="003D1AC8">
        <w:rPr>
          <w:rFonts w:cs="Arial"/>
          <w:b/>
        </w:rPr>
        <w:t xml:space="preserve">Sustainable management </w:t>
      </w:r>
    </w:p>
    <w:p w:rsidR="00EE5ECA" w:rsidRPr="003D1AC8" w:rsidRDefault="00EE5ECA" w:rsidP="00EE5ECA">
      <w:pPr>
        <w:jc w:val="both"/>
        <w:rPr>
          <w:rFonts w:cs="Arial"/>
        </w:rPr>
      </w:pPr>
    </w:p>
    <w:p w:rsidR="00EE5ECA" w:rsidRPr="005273B0" w:rsidRDefault="00EE5ECA" w:rsidP="00EE5ECA">
      <w:pPr>
        <w:numPr>
          <w:ilvl w:val="0"/>
          <w:numId w:val="50"/>
        </w:numPr>
        <w:spacing w:after="0"/>
        <w:jc w:val="both"/>
        <w:rPr>
          <w:rFonts w:cs="Arial"/>
        </w:rPr>
      </w:pPr>
      <w:r>
        <w:rPr>
          <w:rFonts w:cs="Arial"/>
        </w:rPr>
        <w:t>Identify and consult on</w:t>
      </w:r>
      <w:r w:rsidRPr="005273B0">
        <w:rPr>
          <w:rFonts w:cs="Arial"/>
        </w:rPr>
        <w:t xml:space="preserve"> ways in which those centres that are currently managed by the City Council can be effectively managed in future on a long term and stable basis with strong community involvement.</w:t>
      </w:r>
    </w:p>
    <w:p w:rsidR="00EE5ECA" w:rsidRPr="005273B0" w:rsidRDefault="00EE5ECA" w:rsidP="00EE5ECA">
      <w:pPr>
        <w:numPr>
          <w:ilvl w:val="0"/>
          <w:numId w:val="50"/>
        </w:numPr>
        <w:spacing w:after="0"/>
        <w:jc w:val="both"/>
        <w:rPr>
          <w:rFonts w:cs="Arial"/>
        </w:rPr>
      </w:pPr>
      <w:r w:rsidRPr="005273B0">
        <w:rPr>
          <w:rFonts w:cs="Arial"/>
        </w:rPr>
        <w:t xml:space="preserve">Review the current lease arrangements for each centre and </w:t>
      </w:r>
      <w:r>
        <w:rPr>
          <w:rFonts w:cs="Arial"/>
        </w:rPr>
        <w:t>seek to agree new long term arrangements</w:t>
      </w:r>
      <w:r w:rsidRPr="005273B0">
        <w:rPr>
          <w:rFonts w:cs="Arial"/>
        </w:rPr>
        <w:t>.</w:t>
      </w:r>
    </w:p>
    <w:p w:rsidR="00EE5ECA" w:rsidRPr="005273B0" w:rsidRDefault="00EE5ECA" w:rsidP="00EE5ECA">
      <w:pPr>
        <w:numPr>
          <w:ilvl w:val="0"/>
          <w:numId w:val="50"/>
        </w:numPr>
        <w:spacing w:after="0"/>
        <w:jc w:val="both"/>
      </w:pPr>
      <w:r w:rsidRPr="005273B0">
        <w:t>Support Associations in developing management skills and expertise and in recruiting volunteers to run the centres’ activities.</w:t>
      </w:r>
    </w:p>
    <w:p w:rsidR="00EE5ECA" w:rsidRPr="00B1088E" w:rsidRDefault="00EE5ECA" w:rsidP="00EE5ECA">
      <w:pPr>
        <w:pStyle w:val="ListParagraph"/>
        <w:numPr>
          <w:ilvl w:val="0"/>
          <w:numId w:val="50"/>
        </w:numPr>
        <w:tabs>
          <w:tab w:val="clear" w:pos="426"/>
        </w:tabs>
        <w:spacing w:after="0"/>
        <w:contextualSpacing/>
        <w:jc w:val="both"/>
        <w:rPr>
          <w:sz w:val="22"/>
          <w:szCs w:val="22"/>
        </w:rPr>
      </w:pPr>
      <w:r w:rsidRPr="00B1088E">
        <w:rPr>
          <w:sz w:val="22"/>
          <w:szCs w:val="22"/>
        </w:rPr>
        <w:t>Support Associations to recruit and retain trustees and manage their buildings.</w:t>
      </w:r>
    </w:p>
    <w:p w:rsidR="00C92F63" w:rsidRDefault="00C92F63" w:rsidP="00C92F63">
      <w:pPr>
        <w:spacing w:after="0"/>
        <w:jc w:val="both"/>
        <w:rPr>
          <w:rFonts w:eastAsia="Calibri" w:cs="Calibri"/>
          <w:szCs w:val="22"/>
        </w:rPr>
      </w:pPr>
    </w:p>
    <w:p w:rsidR="00C92F63" w:rsidRDefault="00C92F63" w:rsidP="00C92F63">
      <w:pPr>
        <w:spacing w:after="0"/>
        <w:jc w:val="both"/>
        <w:rPr>
          <w:rFonts w:eastAsia="Calibri" w:cs="Calibri"/>
          <w:szCs w:val="22"/>
        </w:rPr>
      </w:pPr>
    </w:p>
    <w:p w:rsidR="00C92F63" w:rsidRDefault="00C92F63" w:rsidP="00C92F63">
      <w:pPr>
        <w:spacing w:after="0"/>
        <w:jc w:val="both"/>
        <w:rPr>
          <w:rFonts w:eastAsia="Calibri" w:cs="Calibri"/>
          <w:b/>
          <w:szCs w:val="22"/>
        </w:rPr>
      </w:pPr>
      <w:r w:rsidRPr="00C92F63">
        <w:rPr>
          <w:rFonts w:eastAsia="Calibri" w:cs="Calibri"/>
          <w:b/>
          <w:szCs w:val="22"/>
        </w:rPr>
        <w:t>The consultation process</w:t>
      </w:r>
    </w:p>
    <w:p w:rsidR="00C92F63" w:rsidRDefault="00C92F63" w:rsidP="00C92F63">
      <w:pPr>
        <w:spacing w:after="0"/>
        <w:jc w:val="both"/>
        <w:rPr>
          <w:rFonts w:eastAsia="Calibri" w:cs="Calibri"/>
          <w:b/>
          <w:szCs w:val="22"/>
        </w:rPr>
      </w:pPr>
    </w:p>
    <w:p w:rsidR="00C92F63" w:rsidRPr="00642390" w:rsidRDefault="00C92F63" w:rsidP="00642390">
      <w:pPr>
        <w:pStyle w:val="ListParagraph"/>
        <w:numPr>
          <w:ilvl w:val="0"/>
          <w:numId w:val="42"/>
        </w:numPr>
        <w:jc w:val="both"/>
        <w:rPr>
          <w:rFonts w:cs="Arial"/>
        </w:rPr>
      </w:pPr>
      <w:r w:rsidRPr="00642390">
        <w:rPr>
          <w:rFonts w:cs="Arial"/>
        </w:rPr>
        <w:t xml:space="preserve">To initiate the consultation a copy of the draft strategy and a covering letter was sent to the following key stakeholders:  </w:t>
      </w:r>
    </w:p>
    <w:p w:rsidR="00C92F63" w:rsidRPr="004648DE" w:rsidRDefault="00C92F63" w:rsidP="00C92F63">
      <w:pPr>
        <w:numPr>
          <w:ilvl w:val="1"/>
          <w:numId w:val="46"/>
        </w:numPr>
        <w:spacing w:after="0"/>
        <w:jc w:val="both"/>
      </w:pPr>
      <w:r>
        <w:t xml:space="preserve">All the </w:t>
      </w:r>
      <w:r w:rsidRPr="004648DE">
        <w:t>Community Associations</w:t>
      </w:r>
    </w:p>
    <w:p w:rsidR="00C92F63" w:rsidRPr="004648DE" w:rsidRDefault="00C92F63" w:rsidP="00C92F63">
      <w:pPr>
        <w:numPr>
          <w:ilvl w:val="1"/>
          <w:numId w:val="46"/>
        </w:numPr>
        <w:spacing w:after="0"/>
        <w:jc w:val="both"/>
      </w:pPr>
      <w:r w:rsidRPr="004648DE">
        <w:t>Oxfordshire Community and Voluntary Action</w:t>
      </w:r>
    </w:p>
    <w:p w:rsidR="00C92F63" w:rsidRPr="004648DE" w:rsidRDefault="00C92F63" w:rsidP="00C92F63">
      <w:pPr>
        <w:numPr>
          <w:ilvl w:val="1"/>
          <w:numId w:val="46"/>
        </w:numPr>
        <w:spacing w:after="0"/>
        <w:jc w:val="both"/>
      </w:pPr>
      <w:r w:rsidRPr="004648DE">
        <w:t xml:space="preserve">Oxfordshire County Council </w:t>
      </w:r>
      <w:r>
        <w:t>(</w:t>
      </w:r>
      <w:r w:rsidRPr="004648DE">
        <w:t xml:space="preserve">focused </w:t>
      </w:r>
      <w:r>
        <w:t>on</w:t>
      </w:r>
      <w:r w:rsidRPr="004648DE">
        <w:t xml:space="preserve"> social care</w:t>
      </w:r>
      <w:r>
        <w:t>)</w:t>
      </w:r>
    </w:p>
    <w:p w:rsidR="00C92F63" w:rsidRPr="004648DE" w:rsidRDefault="00C92F63" w:rsidP="00C92F63">
      <w:pPr>
        <w:numPr>
          <w:ilvl w:val="1"/>
          <w:numId w:val="46"/>
        </w:numPr>
        <w:spacing w:after="0"/>
        <w:jc w:val="both"/>
      </w:pPr>
      <w:r>
        <w:t xml:space="preserve">The </w:t>
      </w:r>
      <w:r w:rsidRPr="004648DE">
        <w:t>Parish Councils</w:t>
      </w:r>
    </w:p>
    <w:p w:rsidR="00C92F63" w:rsidRPr="004648DE" w:rsidRDefault="00C92F63" w:rsidP="00C92F63">
      <w:pPr>
        <w:numPr>
          <w:ilvl w:val="1"/>
          <w:numId w:val="46"/>
        </w:numPr>
        <w:spacing w:after="0"/>
        <w:jc w:val="both"/>
      </w:pPr>
      <w:r>
        <w:t>All the</w:t>
      </w:r>
      <w:r w:rsidRPr="004648DE">
        <w:t xml:space="preserve"> Primary and Secondary Schools</w:t>
      </w:r>
      <w:r>
        <w:t xml:space="preserve"> and the FE Colleges</w:t>
      </w:r>
    </w:p>
    <w:p w:rsidR="00642390" w:rsidRDefault="00C92F63" w:rsidP="00C92F63">
      <w:pPr>
        <w:numPr>
          <w:ilvl w:val="1"/>
          <w:numId w:val="46"/>
        </w:numPr>
        <w:spacing w:after="0"/>
        <w:jc w:val="both"/>
      </w:pPr>
      <w:r>
        <w:t>The Clinical Commissioning Group</w:t>
      </w:r>
    </w:p>
    <w:p w:rsidR="00C92F63" w:rsidRPr="004648DE" w:rsidRDefault="00642390" w:rsidP="00C92F63">
      <w:pPr>
        <w:numPr>
          <w:ilvl w:val="1"/>
          <w:numId w:val="46"/>
        </w:numPr>
        <w:spacing w:after="0"/>
        <w:jc w:val="both"/>
      </w:pPr>
      <w:r>
        <w:t xml:space="preserve">Various health partners </w:t>
      </w:r>
    </w:p>
    <w:p w:rsidR="00C92F63" w:rsidRPr="00832CAB" w:rsidRDefault="00C92F63" w:rsidP="00C92F63">
      <w:pPr>
        <w:pStyle w:val="ListParagraph"/>
        <w:numPr>
          <w:ilvl w:val="1"/>
          <w:numId w:val="46"/>
        </w:numPr>
        <w:tabs>
          <w:tab w:val="clear" w:pos="426"/>
          <w:tab w:val="clear" w:pos="1440"/>
          <w:tab w:val="num" w:pos="1134"/>
        </w:tabs>
        <w:spacing w:after="0" w:line="264" w:lineRule="exact"/>
        <w:ind w:right="-20" w:firstLine="54"/>
        <w:contextualSpacing/>
        <w:jc w:val="both"/>
        <w:rPr>
          <w:rFonts w:eastAsia="Calibri" w:cs="Arial"/>
        </w:rPr>
      </w:pPr>
      <w:r w:rsidRPr="00832CAB">
        <w:rPr>
          <w:rFonts w:eastAsia="Calibri" w:cs="Arial"/>
        </w:rPr>
        <w:t xml:space="preserve">Any interested parties </w:t>
      </w:r>
    </w:p>
    <w:p w:rsidR="00C92F63" w:rsidRPr="004648DE" w:rsidRDefault="00C92F63" w:rsidP="00C92F63">
      <w:pPr>
        <w:jc w:val="both"/>
      </w:pPr>
    </w:p>
    <w:p w:rsidR="00C92F63" w:rsidRPr="004648DE" w:rsidRDefault="00642390" w:rsidP="00C92F63">
      <w:pPr>
        <w:ind w:left="709" w:hanging="709"/>
        <w:jc w:val="both"/>
      </w:pPr>
      <w:r>
        <w:rPr>
          <w:rFonts w:cs="Arial"/>
        </w:rPr>
        <w:t>4.</w:t>
      </w:r>
      <w:r w:rsidR="00C92F63" w:rsidRPr="004648DE">
        <w:rPr>
          <w:rFonts w:cs="Arial"/>
        </w:rPr>
        <w:tab/>
        <w:t>T</w:t>
      </w:r>
      <w:r w:rsidR="00C92F63" w:rsidRPr="004648DE">
        <w:t>hroughout the eight week consult</w:t>
      </w:r>
      <w:r w:rsidR="00A52DE3">
        <w:t>ation</w:t>
      </w:r>
      <w:r w:rsidR="00C92F63" w:rsidRPr="004648DE">
        <w:t xml:space="preserve"> the draft strategy w</w:t>
      </w:r>
      <w:r w:rsidR="00C92F63">
        <w:t xml:space="preserve">as </w:t>
      </w:r>
      <w:r w:rsidR="00C92F63" w:rsidRPr="004648DE">
        <w:t>on the Council</w:t>
      </w:r>
      <w:r w:rsidR="00C92F63">
        <w:t>’s</w:t>
      </w:r>
      <w:r w:rsidR="00C92F63" w:rsidRPr="004648DE">
        <w:t xml:space="preserve"> website and available for comment through the on-line consultation page. A press release and posts on the Council’s social media </w:t>
      </w:r>
      <w:r w:rsidR="00C92F63">
        <w:t xml:space="preserve">were used to launch </w:t>
      </w:r>
      <w:r w:rsidR="00C92F63" w:rsidRPr="004648DE">
        <w:t>the start of the consultation.</w:t>
      </w:r>
    </w:p>
    <w:p w:rsidR="00C92F63" w:rsidRPr="004648DE" w:rsidRDefault="00642390" w:rsidP="00C92F63">
      <w:pPr>
        <w:ind w:left="720" w:hanging="720"/>
        <w:jc w:val="both"/>
      </w:pPr>
      <w:r>
        <w:t>5</w:t>
      </w:r>
      <w:r w:rsidR="00C92F63" w:rsidRPr="004648DE">
        <w:t>.</w:t>
      </w:r>
      <w:r w:rsidR="00C92F63" w:rsidRPr="004648DE">
        <w:tab/>
      </w:r>
      <w:r w:rsidR="00C92F63">
        <w:t>Focus group</w:t>
      </w:r>
      <w:r w:rsidR="00C92F63" w:rsidRPr="004648DE">
        <w:t xml:space="preserve"> sessions </w:t>
      </w:r>
      <w:r w:rsidR="00C92F63">
        <w:t>w</w:t>
      </w:r>
      <w:r>
        <w:t xml:space="preserve">ere </w:t>
      </w:r>
      <w:r w:rsidR="00C92F63">
        <w:t xml:space="preserve">organised </w:t>
      </w:r>
      <w:r w:rsidR="00C92F63" w:rsidRPr="004648DE">
        <w:t xml:space="preserve">with </w:t>
      </w:r>
      <w:r w:rsidR="00C92F63">
        <w:t>representatives of the following groups to draw out more qualitative feedback on matters which affect them:</w:t>
      </w:r>
    </w:p>
    <w:p w:rsidR="00C92F63" w:rsidRPr="004648DE" w:rsidRDefault="00C92F63" w:rsidP="00C92F63">
      <w:pPr>
        <w:pStyle w:val="ListParagraph"/>
        <w:numPr>
          <w:ilvl w:val="0"/>
          <w:numId w:val="47"/>
        </w:numPr>
        <w:tabs>
          <w:tab w:val="clear" w:pos="426"/>
        </w:tabs>
        <w:spacing w:after="0" w:line="264" w:lineRule="exact"/>
        <w:ind w:right="-20"/>
        <w:contextualSpacing/>
        <w:jc w:val="both"/>
        <w:rPr>
          <w:rFonts w:eastAsia="Calibri" w:cs="Arial"/>
        </w:rPr>
      </w:pPr>
      <w:r w:rsidRPr="004648DE">
        <w:rPr>
          <w:rFonts w:eastAsia="Calibri" w:cs="Arial"/>
        </w:rPr>
        <w:lastRenderedPageBreak/>
        <w:t xml:space="preserve">Older people </w:t>
      </w:r>
      <w:r>
        <w:rPr>
          <w:rFonts w:eastAsia="Calibri" w:cs="Arial"/>
        </w:rPr>
        <w:t>( over 60s)</w:t>
      </w:r>
    </w:p>
    <w:p w:rsidR="00C92F63" w:rsidRPr="004648DE" w:rsidRDefault="00C92F63" w:rsidP="00C92F63">
      <w:pPr>
        <w:pStyle w:val="ListParagraph"/>
        <w:numPr>
          <w:ilvl w:val="0"/>
          <w:numId w:val="47"/>
        </w:numPr>
        <w:tabs>
          <w:tab w:val="clear" w:pos="426"/>
        </w:tabs>
        <w:spacing w:after="0" w:line="264" w:lineRule="exact"/>
        <w:ind w:right="-20"/>
        <w:contextualSpacing/>
        <w:jc w:val="both"/>
        <w:rPr>
          <w:rFonts w:eastAsia="Calibri" w:cs="Arial"/>
        </w:rPr>
      </w:pPr>
      <w:r w:rsidRPr="002A2093">
        <w:rPr>
          <w:rFonts w:eastAsia="Calibri" w:cs="Arial"/>
        </w:rPr>
        <w:t xml:space="preserve">Health </w:t>
      </w:r>
      <w:r w:rsidR="00642390">
        <w:rPr>
          <w:rFonts w:eastAsia="Calibri" w:cs="Arial"/>
        </w:rPr>
        <w:t>partners</w:t>
      </w:r>
    </w:p>
    <w:p w:rsidR="00C92F63" w:rsidRPr="004648DE" w:rsidRDefault="00C92F63" w:rsidP="00C92F63">
      <w:pPr>
        <w:pStyle w:val="ListParagraph"/>
        <w:numPr>
          <w:ilvl w:val="0"/>
          <w:numId w:val="47"/>
        </w:numPr>
        <w:tabs>
          <w:tab w:val="clear" w:pos="426"/>
        </w:tabs>
        <w:spacing w:after="0" w:line="264" w:lineRule="exact"/>
        <w:ind w:right="-20"/>
        <w:contextualSpacing/>
        <w:jc w:val="both"/>
        <w:rPr>
          <w:rFonts w:eastAsia="Calibri" w:cs="Arial"/>
        </w:rPr>
      </w:pPr>
      <w:r w:rsidRPr="004648DE">
        <w:rPr>
          <w:rFonts w:eastAsia="Calibri" w:cs="Arial"/>
        </w:rPr>
        <w:t xml:space="preserve">Young </w:t>
      </w:r>
      <w:r>
        <w:rPr>
          <w:rFonts w:eastAsia="Calibri" w:cs="Arial"/>
        </w:rPr>
        <w:t>p</w:t>
      </w:r>
      <w:r w:rsidRPr="004648DE">
        <w:rPr>
          <w:rFonts w:eastAsia="Calibri" w:cs="Arial"/>
        </w:rPr>
        <w:t>eople</w:t>
      </w:r>
    </w:p>
    <w:p w:rsidR="00C92F63" w:rsidRDefault="00C92F63" w:rsidP="00C92F63">
      <w:pPr>
        <w:pStyle w:val="ListParagraph"/>
        <w:numPr>
          <w:ilvl w:val="0"/>
          <w:numId w:val="47"/>
        </w:numPr>
        <w:tabs>
          <w:tab w:val="clear" w:pos="426"/>
        </w:tabs>
        <w:spacing w:after="0" w:line="264" w:lineRule="exact"/>
        <w:ind w:right="-20"/>
        <w:contextualSpacing/>
        <w:jc w:val="both"/>
        <w:rPr>
          <w:rFonts w:eastAsia="Calibri" w:cs="Arial"/>
        </w:rPr>
      </w:pPr>
      <w:r>
        <w:rPr>
          <w:rFonts w:eastAsia="Calibri" w:cs="Arial"/>
        </w:rPr>
        <w:t>Minority community representatives</w:t>
      </w:r>
      <w:r w:rsidRPr="004648DE">
        <w:rPr>
          <w:rFonts w:eastAsia="Calibri" w:cs="Arial"/>
        </w:rPr>
        <w:t xml:space="preserve"> </w:t>
      </w:r>
    </w:p>
    <w:p w:rsidR="00642390" w:rsidRDefault="00642390" w:rsidP="00C92F63">
      <w:pPr>
        <w:pStyle w:val="ListParagraph"/>
        <w:numPr>
          <w:ilvl w:val="0"/>
          <w:numId w:val="47"/>
        </w:numPr>
        <w:tabs>
          <w:tab w:val="clear" w:pos="426"/>
        </w:tabs>
        <w:spacing w:after="0" w:line="264" w:lineRule="exact"/>
        <w:ind w:right="-20"/>
        <w:contextualSpacing/>
        <w:jc w:val="both"/>
        <w:rPr>
          <w:rFonts w:eastAsia="Calibri" w:cs="Arial"/>
        </w:rPr>
      </w:pPr>
      <w:r>
        <w:rPr>
          <w:rFonts w:eastAsia="Calibri" w:cs="Arial"/>
        </w:rPr>
        <w:t>Federation of Community Centres</w:t>
      </w:r>
    </w:p>
    <w:p w:rsidR="00642390" w:rsidRDefault="00642390" w:rsidP="00642390">
      <w:pPr>
        <w:pStyle w:val="ListParagraph"/>
        <w:numPr>
          <w:ilvl w:val="0"/>
          <w:numId w:val="0"/>
        </w:numPr>
        <w:tabs>
          <w:tab w:val="clear" w:pos="426"/>
        </w:tabs>
        <w:spacing w:after="0" w:line="264" w:lineRule="exact"/>
        <w:ind w:left="1440" w:right="-20"/>
        <w:contextualSpacing/>
        <w:jc w:val="both"/>
        <w:rPr>
          <w:rFonts w:eastAsia="Calibri" w:cs="Arial"/>
        </w:rPr>
      </w:pPr>
    </w:p>
    <w:p w:rsidR="00642390" w:rsidRPr="00642390" w:rsidRDefault="004E3B5F" w:rsidP="00642390">
      <w:pPr>
        <w:spacing w:after="0" w:line="264" w:lineRule="exact"/>
        <w:ind w:right="-20"/>
        <w:contextualSpacing/>
        <w:jc w:val="both"/>
        <w:rPr>
          <w:rFonts w:eastAsia="Calibri" w:cs="Arial"/>
        </w:rPr>
      </w:pPr>
      <w:r>
        <w:rPr>
          <w:rFonts w:eastAsia="Calibri" w:cs="Arial"/>
        </w:rPr>
        <w:t>6.</w:t>
      </w:r>
      <w:r>
        <w:rPr>
          <w:rFonts w:eastAsia="Calibri" w:cs="Arial"/>
        </w:rPr>
        <w:tab/>
      </w:r>
      <w:r w:rsidR="00642390">
        <w:rPr>
          <w:rFonts w:eastAsia="Calibri" w:cs="Arial"/>
        </w:rPr>
        <w:t xml:space="preserve">The feedback from these sessions is included in appendix </w:t>
      </w:r>
      <w:r>
        <w:rPr>
          <w:rFonts w:eastAsia="Calibri" w:cs="Arial"/>
        </w:rPr>
        <w:t>four.</w:t>
      </w:r>
    </w:p>
    <w:p w:rsidR="00C92F63" w:rsidRPr="004648DE" w:rsidRDefault="00C92F63" w:rsidP="00C92F63">
      <w:pPr>
        <w:jc w:val="both"/>
        <w:rPr>
          <w:rFonts w:eastAsia="Calibri" w:cs="Arial"/>
        </w:rPr>
      </w:pPr>
    </w:p>
    <w:p w:rsidR="00C92F63" w:rsidRPr="000F16D1" w:rsidRDefault="00C92F63" w:rsidP="00C92F63">
      <w:pPr>
        <w:jc w:val="both"/>
        <w:rPr>
          <w:rFonts w:cs="TTB346o00"/>
          <w:b/>
        </w:rPr>
      </w:pPr>
      <w:r w:rsidRPr="0071682D">
        <w:rPr>
          <w:rFonts w:cs="TTB346o00"/>
          <w:b/>
        </w:rPr>
        <w:t>Summary of consultation results</w:t>
      </w:r>
    </w:p>
    <w:p w:rsidR="00C92F63" w:rsidRDefault="004E3B5F" w:rsidP="000F16D1">
      <w:pPr>
        <w:spacing w:after="0"/>
        <w:ind w:left="720" w:hanging="426"/>
        <w:jc w:val="both"/>
        <w:rPr>
          <w:rFonts w:cs="TTB344o00"/>
        </w:rPr>
      </w:pPr>
      <w:r>
        <w:rPr>
          <w:rFonts w:cs="TTB344o00"/>
        </w:rPr>
        <w:t>7.</w:t>
      </w:r>
      <w:r w:rsidR="00642390" w:rsidRPr="004E3B5F">
        <w:rPr>
          <w:rFonts w:cs="TTB344o00"/>
        </w:rPr>
        <w:t xml:space="preserve"> </w:t>
      </w:r>
      <w:r w:rsidR="00EE5ECA">
        <w:rPr>
          <w:rFonts w:cs="TTB344o00"/>
        </w:rPr>
        <w:t xml:space="preserve"> </w:t>
      </w:r>
      <w:r w:rsidR="00C92F63" w:rsidRPr="004E3B5F">
        <w:rPr>
          <w:rFonts w:cs="TTB344o00"/>
        </w:rPr>
        <w:t xml:space="preserve">The </w:t>
      </w:r>
      <w:r>
        <w:rPr>
          <w:rFonts w:cs="TTB344o00"/>
        </w:rPr>
        <w:t>questionnaires showed</w:t>
      </w:r>
      <w:r w:rsidR="00C92F63" w:rsidRPr="004E3B5F">
        <w:rPr>
          <w:rFonts w:cs="TTB344o00"/>
        </w:rPr>
        <w:t xml:space="preserve"> </w:t>
      </w:r>
      <w:r w:rsidR="00642390" w:rsidRPr="004E3B5F">
        <w:rPr>
          <w:rFonts w:cs="TTB344o00"/>
        </w:rPr>
        <w:t xml:space="preserve">a good level of support for most aspects of the </w:t>
      </w:r>
      <w:r w:rsidR="00A52DE3">
        <w:rPr>
          <w:rFonts w:cs="TTB344o00"/>
        </w:rPr>
        <w:t xml:space="preserve">strategy </w:t>
      </w:r>
      <w:r>
        <w:rPr>
          <w:rFonts w:cs="TTB344o00"/>
        </w:rPr>
        <w:t xml:space="preserve">and we also received a lot of written responses and very useful feedback from the focus groups. </w:t>
      </w:r>
      <w:r w:rsidR="00556B10" w:rsidRPr="004E3B5F">
        <w:rPr>
          <w:rFonts w:cs="TTB344o00"/>
        </w:rPr>
        <w:t>The c</w:t>
      </w:r>
      <w:r w:rsidR="00C92F63" w:rsidRPr="004E3B5F">
        <w:rPr>
          <w:rFonts w:cs="TTB344o00"/>
        </w:rPr>
        <w:t>ommon themes from the consultation</w:t>
      </w:r>
      <w:r w:rsidR="00A52DE3">
        <w:rPr>
          <w:rFonts w:cs="TTB344o00"/>
        </w:rPr>
        <w:t xml:space="preserve"> were</w:t>
      </w:r>
      <w:r w:rsidR="00C92F63" w:rsidRPr="004E3B5F">
        <w:rPr>
          <w:rFonts w:cs="TTB344o00"/>
        </w:rPr>
        <w:t xml:space="preserve">: </w:t>
      </w:r>
    </w:p>
    <w:p w:rsidR="000F16D1" w:rsidRPr="0071682D" w:rsidRDefault="000F16D1" w:rsidP="000F16D1">
      <w:pPr>
        <w:spacing w:after="0"/>
        <w:ind w:left="720" w:hanging="426"/>
        <w:jc w:val="both"/>
        <w:rPr>
          <w:rFonts w:cs="TTB344o00"/>
        </w:rPr>
      </w:pPr>
    </w:p>
    <w:p w:rsidR="00C92F63" w:rsidRPr="00642390" w:rsidRDefault="00C92F63" w:rsidP="00C92F63">
      <w:pPr>
        <w:numPr>
          <w:ilvl w:val="0"/>
          <w:numId w:val="45"/>
        </w:numPr>
        <w:spacing w:after="0"/>
        <w:ind w:left="709" w:hanging="425"/>
      </w:pPr>
      <w:r w:rsidRPr="008E3DA6">
        <w:rPr>
          <w:b/>
        </w:rPr>
        <w:t>Improved communication of what’s available</w:t>
      </w:r>
    </w:p>
    <w:p w:rsidR="00642390" w:rsidRPr="00642390" w:rsidRDefault="00642390" w:rsidP="00642390">
      <w:pPr>
        <w:spacing w:after="0"/>
        <w:ind w:left="709"/>
      </w:pPr>
      <w:r>
        <w:t xml:space="preserve">The consultation supports the need to better communicate what’s </w:t>
      </w:r>
      <w:r w:rsidR="00A52DE3">
        <w:t>available;</w:t>
      </w:r>
      <w:r w:rsidR="0037403A">
        <w:t xml:space="preserve"> this is </w:t>
      </w:r>
      <w:r>
        <w:t xml:space="preserve">included in the action plan.   </w:t>
      </w:r>
    </w:p>
    <w:p w:rsidR="00C92F63" w:rsidRDefault="00C92F63" w:rsidP="00C92F63">
      <w:pPr>
        <w:ind w:left="709"/>
        <w:rPr>
          <w:rFonts w:cs="TTB344o00"/>
        </w:rPr>
      </w:pPr>
    </w:p>
    <w:p w:rsidR="00C92F63" w:rsidRPr="00642390" w:rsidRDefault="00642390" w:rsidP="00C92F63">
      <w:pPr>
        <w:numPr>
          <w:ilvl w:val="0"/>
          <w:numId w:val="45"/>
        </w:numPr>
        <w:spacing w:after="0"/>
        <w:ind w:left="709" w:hanging="425"/>
        <w:rPr>
          <w:rFonts w:cs="TTB344o00"/>
        </w:rPr>
      </w:pPr>
      <w:r>
        <w:rPr>
          <w:rFonts w:cs="TTB344o00"/>
          <w:b/>
        </w:rPr>
        <w:t xml:space="preserve">Relationships with the Community Associations </w:t>
      </w:r>
    </w:p>
    <w:p w:rsidR="00642390" w:rsidRPr="00642390" w:rsidRDefault="00642390" w:rsidP="00642390">
      <w:pPr>
        <w:spacing w:after="0"/>
        <w:ind w:left="709"/>
        <w:rPr>
          <w:rFonts w:cs="TTB344o00"/>
        </w:rPr>
      </w:pPr>
      <w:r>
        <w:rPr>
          <w:rFonts w:cs="TTB344o00"/>
        </w:rPr>
        <w:t xml:space="preserve">The Council very much values the work of the Community Associations and this is stated in the strategy. We have </w:t>
      </w:r>
      <w:r w:rsidR="0037403A">
        <w:rPr>
          <w:rFonts w:cs="TTB344o00"/>
        </w:rPr>
        <w:t>recently</w:t>
      </w:r>
      <w:r>
        <w:rPr>
          <w:rFonts w:cs="TTB344o00"/>
        </w:rPr>
        <w:t xml:space="preserve"> </w:t>
      </w:r>
      <w:r w:rsidR="00A52DE3">
        <w:rPr>
          <w:rFonts w:cs="TTB344o00"/>
        </w:rPr>
        <w:t>taken on a</w:t>
      </w:r>
      <w:r>
        <w:rPr>
          <w:rFonts w:cs="TTB344o00"/>
        </w:rPr>
        <w:t xml:space="preserve"> new </w:t>
      </w:r>
      <w:r w:rsidR="00A52DE3">
        <w:rPr>
          <w:rFonts w:cs="TTB344o00"/>
        </w:rPr>
        <w:t xml:space="preserve">employee </w:t>
      </w:r>
      <w:r>
        <w:rPr>
          <w:rFonts w:cs="TTB344o00"/>
        </w:rPr>
        <w:t xml:space="preserve">who </w:t>
      </w:r>
      <w:r w:rsidR="00EE5ECA">
        <w:rPr>
          <w:rFonts w:cs="TTB344o00"/>
        </w:rPr>
        <w:t xml:space="preserve">now works closely </w:t>
      </w:r>
      <w:r>
        <w:rPr>
          <w:rFonts w:cs="TTB344o00"/>
        </w:rPr>
        <w:t>with and support</w:t>
      </w:r>
      <w:r w:rsidR="00EE5ECA">
        <w:rPr>
          <w:rFonts w:cs="TTB344o00"/>
        </w:rPr>
        <w:t>s</w:t>
      </w:r>
      <w:r>
        <w:rPr>
          <w:rFonts w:cs="TTB344o00"/>
        </w:rPr>
        <w:t xml:space="preserve"> Community Associations. </w:t>
      </w:r>
    </w:p>
    <w:p w:rsidR="00C92F63" w:rsidRDefault="00C92F63" w:rsidP="00C92F63">
      <w:pPr>
        <w:ind w:left="709"/>
        <w:rPr>
          <w:rFonts w:cs="TTB344o00"/>
        </w:rPr>
      </w:pPr>
    </w:p>
    <w:p w:rsidR="00642390" w:rsidRPr="00642390" w:rsidRDefault="00642390" w:rsidP="00C92F63">
      <w:pPr>
        <w:numPr>
          <w:ilvl w:val="0"/>
          <w:numId w:val="45"/>
        </w:numPr>
        <w:autoSpaceDE w:val="0"/>
        <w:autoSpaceDN w:val="0"/>
        <w:adjustRightInd w:val="0"/>
        <w:spacing w:after="0"/>
        <w:ind w:left="709" w:hanging="425"/>
        <w:jc w:val="both"/>
        <w:rPr>
          <w:rFonts w:cs="TTB344o00"/>
        </w:rPr>
      </w:pPr>
      <w:r w:rsidRPr="00642390">
        <w:rPr>
          <w:rFonts w:cs="TTB344o00"/>
          <w:b/>
        </w:rPr>
        <w:t xml:space="preserve">Recognising the value of Community Centres </w:t>
      </w:r>
    </w:p>
    <w:p w:rsidR="00642390" w:rsidRPr="00737537" w:rsidRDefault="00737537" w:rsidP="00642390">
      <w:pPr>
        <w:autoSpaceDE w:val="0"/>
        <w:autoSpaceDN w:val="0"/>
        <w:adjustRightInd w:val="0"/>
        <w:spacing w:after="0"/>
        <w:ind w:left="709"/>
        <w:jc w:val="both"/>
        <w:rPr>
          <w:rFonts w:cs="TTB344o00"/>
        </w:rPr>
      </w:pPr>
      <w:r>
        <w:rPr>
          <w:rFonts w:cs="TTB344o00"/>
        </w:rPr>
        <w:t xml:space="preserve">While the broader value of well-run Community Centres is very much addressed in the strategy, we have added a new task to the action plan to </w:t>
      </w:r>
      <w:r w:rsidR="0037403A">
        <w:rPr>
          <w:rFonts w:cs="TTB344o00"/>
        </w:rPr>
        <w:t xml:space="preserve">find a way to </w:t>
      </w:r>
      <w:r>
        <w:rPr>
          <w:rFonts w:cs="TTB344o00"/>
        </w:rPr>
        <w:t>demonstrate the</w:t>
      </w:r>
      <w:r w:rsidR="0037403A">
        <w:rPr>
          <w:rFonts w:cs="TTB344o00"/>
        </w:rPr>
        <w:t>ir</w:t>
      </w:r>
      <w:r>
        <w:rPr>
          <w:rFonts w:cs="TTB344o00"/>
        </w:rPr>
        <w:t xml:space="preserve"> social and economic value</w:t>
      </w:r>
      <w:r w:rsidR="0037403A">
        <w:rPr>
          <w:rFonts w:cs="TTB344o00"/>
        </w:rPr>
        <w:t xml:space="preserve"> and a work group has been set up</w:t>
      </w:r>
      <w:r>
        <w:rPr>
          <w:rFonts w:cs="TTB344o00"/>
        </w:rPr>
        <w:t>.</w:t>
      </w:r>
    </w:p>
    <w:p w:rsidR="00642390" w:rsidRDefault="00642390" w:rsidP="00642390">
      <w:pPr>
        <w:pStyle w:val="ListParagraph"/>
        <w:numPr>
          <w:ilvl w:val="0"/>
          <w:numId w:val="0"/>
        </w:numPr>
        <w:ind w:left="426"/>
        <w:rPr>
          <w:rFonts w:cs="TTB344o00"/>
          <w:b/>
        </w:rPr>
      </w:pPr>
    </w:p>
    <w:p w:rsidR="00C92F63" w:rsidRPr="00737537" w:rsidRDefault="00642390" w:rsidP="00C92F63">
      <w:pPr>
        <w:numPr>
          <w:ilvl w:val="0"/>
          <w:numId w:val="45"/>
        </w:numPr>
        <w:autoSpaceDE w:val="0"/>
        <w:autoSpaceDN w:val="0"/>
        <w:adjustRightInd w:val="0"/>
        <w:spacing w:after="0"/>
        <w:ind w:left="709" w:hanging="425"/>
        <w:jc w:val="both"/>
        <w:rPr>
          <w:rFonts w:cs="TTB344o00"/>
        </w:rPr>
      </w:pPr>
      <w:r>
        <w:rPr>
          <w:rFonts w:cs="TTB344o00"/>
          <w:b/>
        </w:rPr>
        <w:t xml:space="preserve">Sustainability of Community Centres and Associations </w:t>
      </w:r>
    </w:p>
    <w:p w:rsidR="00737537" w:rsidRPr="00737537" w:rsidRDefault="00737537" w:rsidP="00737537">
      <w:pPr>
        <w:autoSpaceDE w:val="0"/>
        <w:autoSpaceDN w:val="0"/>
        <w:adjustRightInd w:val="0"/>
        <w:spacing w:after="0"/>
        <w:ind w:left="709"/>
        <w:jc w:val="both"/>
        <w:rPr>
          <w:rFonts w:cs="TTB344o00"/>
        </w:rPr>
      </w:pPr>
      <w:r>
        <w:rPr>
          <w:rFonts w:cs="TTB344o00"/>
        </w:rPr>
        <w:t xml:space="preserve">The strategy recognises with reducing resources and aging buildings that this is a key issue. We </w:t>
      </w:r>
      <w:r w:rsidR="00A52DE3">
        <w:rPr>
          <w:rFonts w:cs="TTB344o00"/>
        </w:rPr>
        <w:t xml:space="preserve">will </w:t>
      </w:r>
      <w:r>
        <w:rPr>
          <w:rFonts w:cs="TTB344o00"/>
        </w:rPr>
        <w:t xml:space="preserve">address this by creating a prioritised maintenance plan, working </w:t>
      </w:r>
      <w:r w:rsidR="00A52DE3">
        <w:rPr>
          <w:rFonts w:cs="TTB344o00"/>
        </w:rPr>
        <w:t xml:space="preserve">better </w:t>
      </w:r>
      <w:r>
        <w:rPr>
          <w:rFonts w:cs="TTB344o00"/>
        </w:rPr>
        <w:t xml:space="preserve">with Associations </w:t>
      </w:r>
      <w:r w:rsidR="00A52DE3">
        <w:rPr>
          <w:rFonts w:cs="TTB344o00"/>
        </w:rPr>
        <w:t xml:space="preserve">and supporting them to </w:t>
      </w:r>
      <w:r>
        <w:rPr>
          <w:rFonts w:cs="TTB344o00"/>
        </w:rPr>
        <w:t>obtain externa</w:t>
      </w:r>
      <w:r w:rsidR="0037403A">
        <w:rPr>
          <w:rFonts w:cs="TTB344o00"/>
        </w:rPr>
        <w:t xml:space="preserve">l funding </w:t>
      </w:r>
      <w:r w:rsidR="00A52DE3">
        <w:rPr>
          <w:rFonts w:cs="TTB344o00"/>
        </w:rPr>
        <w:t>creat</w:t>
      </w:r>
      <w:r w:rsidR="0037403A">
        <w:rPr>
          <w:rFonts w:cs="TTB344o00"/>
        </w:rPr>
        <w:t>ing</w:t>
      </w:r>
      <w:r w:rsidR="00A52DE3">
        <w:rPr>
          <w:rFonts w:cs="TTB344o00"/>
        </w:rPr>
        <w:t xml:space="preserve"> </w:t>
      </w:r>
      <w:r>
        <w:rPr>
          <w:rFonts w:cs="TTB344o00"/>
        </w:rPr>
        <w:t>business plans</w:t>
      </w:r>
      <w:r w:rsidR="0037403A">
        <w:rPr>
          <w:rFonts w:cs="TTB344o00"/>
        </w:rPr>
        <w:t xml:space="preserve"> and recruiting and training trustees and volunteers</w:t>
      </w:r>
      <w:r>
        <w:rPr>
          <w:rFonts w:cs="TTB344o00"/>
        </w:rPr>
        <w:t xml:space="preserve">.  </w:t>
      </w:r>
    </w:p>
    <w:p w:rsidR="00642390" w:rsidRDefault="00642390" w:rsidP="00642390">
      <w:pPr>
        <w:pStyle w:val="ListParagraph"/>
        <w:numPr>
          <w:ilvl w:val="0"/>
          <w:numId w:val="0"/>
        </w:numPr>
        <w:ind w:left="426"/>
        <w:rPr>
          <w:rFonts w:cs="TTB344o00"/>
        </w:rPr>
      </w:pPr>
    </w:p>
    <w:p w:rsidR="00642390" w:rsidRDefault="00642390" w:rsidP="00642390">
      <w:pPr>
        <w:numPr>
          <w:ilvl w:val="0"/>
          <w:numId w:val="45"/>
        </w:numPr>
        <w:spacing w:after="0"/>
        <w:ind w:left="709" w:hanging="425"/>
      </w:pPr>
      <w:r>
        <w:rPr>
          <w:b/>
        </w:rPr>
        <w:t xml:space="preserve">Leases and licences </w:t>
      </w:r>
      <w:r>
        <w:t xml:space="preserve"> </w:t>
      </w:r>
    </w:p>
    <w:p w:rsidR="00737537" w:rsidRDefault="00737537" w:rsidP="00737537">
      <w:pPr>
        <w:spacing w:after="0"/>
        <w:ind w:left="709"/>
      </w:pPr>
      <w:r>
        <w:t xml:space="preserve">A number of respondents wanted to be reassured that that the process of putting suitable leases in place would be progressed within reasonable timescales. The strategy states that we are aiming to have them all </w:t>
      </w:r>
      <w:r w:rsidR="00A52DE3">
        <w:t xml:space="preserve">in place </w:t>
      </w:r>
      <w:r>
        <w:t xml:space="preserve">by November 2017.  </w:t>
      </w:r>
      <w:r w:rsidR="0061052E">
        <w:t>We are hopeful that we will be able to speed this process up</w:t>
      </w:r>
      <w:r w:rsidR="001767A0">
        <w:t xml:space="preserve"> now the West Oxford </w:t>
      </w:r>
      <w:r w:rsidR="0037403A">
        <w:t xml:space="preserve">Community Centre </w:t>
      </w:r>
      <w:r w:rsidR="001767A0">
        <w:t>lease has been agreed by CEB</w:t>
      </w:r>
      <w:r w:rsidR="0037403A">
        <w:t>.</w:t>
      </w:r>
    </w:p>
    <w:p w:rsidR="00E60AF0" w:rsidRPr="00E60AF0" w:rsidRDefault="00E60AF0" w:rsidP="00737537">
      <w:pPr>
        <w:spacing w:after="0"/>
        <w:ind w:left="709"/>
        <w:rPr>
          <w:b/>
        </w:rPr>
      </w:pPr>
    </w:p>
    <w:p w:rsidR="00E60AF0" w:rsidRPr="00E60AF0" w:rsidRDefault="00E60AF0" w:rsidP="00E60AF0">
      <w:pPr>
        <w:numPr>
          <w:ilvl w:val="0"/>
          <w:numId w:val="45"/>
        </w:numPr>
        <w:spacing w:after="0"/>
        <w:ind w:left="709" w:hanging="425"/>
        <w:rPr>
          <w:b/>
        </w:rPr>
      </w:pPr>
      <w:r w:rsidRPr="00E60AF0">
        <w:rPr>
          <w:b/>
        </w:rPr>
        <w:t xml:space="preserve">Terminology </w:t>
      </w:r>
    </w:p>
    <w:p w:rsidR="00E60AF0" w:rsidRDefault="00E60AF0" w:rsidP="00E60AF0">
      <w:pPr>
        <w:spacing w:after="0"/>
        <w:ind w:left="709"/>
      </w:pPr>
      <w:r>
        <w:t xml:space="preserve">The used of the term tiers </w:t>
      </w:r>
      <w:r w:rsidR="00EE5ECA">
        <w:t xml:space="preserve">has been deleted as it </w:t>
      </w:r>
      <w:r>
        <w:t xml:space="preserve">created the suggestion of a hierarchy that was not intended. </w:t>
      </w:r>
    </w:p>
    <w:p w:rsidR="00E60AF0" w:rsidRDefault="00E60AF0" w:rsidP="00737537">
      <w:pPr>
        <w:spacing w:after="0"/>
        <w:ind w:left="709"/>
      </w:pPr>
    </w:p>
    <w:p w:rsidR="00642390" w:rsidRPr="00642390" w:rsidRDefault="00642390" w:rsidP="00642390">
      <w:pPr>
        <w:autoSpaceDE w:val="0"/>
        <w:autoSpaceDN w:val="0"/>
        <w:adjustRightInd w:val="0"/>
        <w:spacing w:after="0"/>
        <w:ind w:left="709"/>
        <w:jc w:val="both"/>
        <w:rPr>
          <w:rFonts w:cs="TTB344o00"/>
        </w:rPr>
      </w:pPr>
    </w:p>
    <w:p w:rsidR="00556B10" w:rsidRPr="000F16D1" w:rsidRDefault="00556B10" w:rsidP="00556B10">
      <w:pPr>
        <w:jc w:val="both"/>
        <w:rPr>
          <w:b/>
        </w:rPr>
      </w:pPr>
      <w:r w:rsidRPr="004648DE">
        <w:rPr>
          <w:b/>
        </w:rPr>
        <w:t>Level of Risk</w:t>
      </w:r>
    </w:p>
    <w:p w:rsidR="00556B10" w:rsidRPr="004648DE" w:rsidRDefault="00556B10" w:rsidP="00556B10">
      <w:pPr>
        <w:jc w:val="both"/>
        <w:rPr>
          <w:rFonts w:cs="Arial"/>
        </w:rPr>
      </w:pPr>
      <w:r>
        <w:rPr>
          <w:rFonts w:cs="Arial"/>
        </w:rPr>
        <w:t>7</w:t>
      </w:r>
      <w:r w:rsidRPr="004648DE">
        <w:rPr>
          <w:rFonts w:cs="Arial"/>
        </w:rPr>
        <w:t>.</w:t>
      </w:r>
      <w:r w:rsidRPr="004648DE">
        <w:rPr>
          <w:rFonts w:cs="Arial"/>
        </w:rPr>
        <w:tab/>
        <w:t xml:space="preserve">The risk register </w:t>
      </w:r>
      <w:r w:rsidR="00F11DBB">
        <w:rPr>
          <w:rFonts w:cs="Arial"/>
        </w:rPr>
        <w:t>is shown in appendix two</w:t>
      </w:r>
      <w:r w:rsidRPr="004648DE">
        <w:rPr>
          <w:rFonts w:cs="Arial"/>
        </w:rPr>
        <w:t>.</w:t>
      </w:r>
    </w:p>
    <w:p w:rsidR="00556B10" w:rsidRPr="004648DE" w:rsidRDefault="00556B10" w:rsidP="00556B10">
      <w:pPr>
        <w:ind w:left="360"/>
        <w:jc w:val="both"/>
        <w:rPr>
          <w:rFonts w:cs="Arial"/>
        </w:rPr>
      </w:pPr>
    </w:p>
    <w:p w:rsidR="00556B10" w:rsidRPr="000F16D1" w:rsidRDefault="00556B10" w:rsidP="000F16D1">
      <w:pPr>
        <w:jc w:val="both"/>
        <w:rPr>
          <w:rFonts w:cs="Arial"/>
          <w:b/>
        </w:rPr>
      </w:pPr>
      <w:r>
        <w:rPr>
          <w:rFonts w:cs="Arial"/>
          <w:b/>
        </w:rPr>
        <w:t xml:space="preserve">Environmental </w:t>
      </w:r>
    </w:p>
    <w:p w:rsidR="00556B10" w:rsidRPr="004648DE" w:rsidRDefault="00556B10" w:rsidP="00556B10">
      <w:pPr>
        <w:ind w:left="720" w:hanging="720"/>
        <w:jc w:val="both"/>
        <w:rPr>
          <w:rFonts w:cs="Arial"/>
        </w:rPr>
      </w:pPr>
      <w:r>
        <w:t>8</w:t>
      </w:r>
      <w:r w:rsidRPr="004648DE">
        <w:t>.</w:t>
      </w:r>
      <w:r w:rsidRPr="004648DE">
        <w:tab/>
        <w:t xml:space="preserve">Current and future projects </w:t>
      </w:r>
      <w:r>
        <w:t xml:space="preserve">within the centres </w:t>
      </w:r>
      <w:r w:rsidRPr="004648DE">
        <w:t xml:space="preserve">will continue to place a high priority on ensuring low carbon technology is implemented. </w:t>
      </w:r>
    </w:p>
    <w:p w:rsidR="004E3B5F" w:rsidRDefault="004E3B5F" w:rsidP="00556B10">
      <w:pPr>
        <w:jc w:val="both"/>
        <w:rPr>
          <w:b/>
        </w:rPr>
      </w:pPr>
    </w:p>
    <w:p w:rsidR="00556B10" w:rsidRPr="000F16D1" w:rsidRDefault="00556B10" w:rsidP="000F16D1">
      <w:pPr>
        <w:jc w:val="both"/>
        <w:rPr>
          <w:b/>
        </w:rPr>
      </w:pPr>
      <w:r w:rsidRPr="004648DE">
        <w:rPr>
          <w:b/>
        </w:rPr>
        <w:t>Equalities Impact</w:t>
      </w:r>
    </w:p>
    <w:p w:rsidR="00556B10" w:rsidRPr="004648DE" w:rsidRDefault="00556B10" w:rsidP="00556B10">
      <w:pPr>
        <w:jc w:val="both"/>
        <w:rPr>
          <w:rFonts w:cs="Arial"/>
        </w:rPr>
      </w:pPr>
      <w:r>
        <w:rPr>
          <w:rFonts w:cs="Arial"/>
        </w:rPr>
        <w:t>9</w:t>
      </w:r>
      <w:r w:rsidR="0037403A">
        <w:rPr>
          <w:rFonts w:cs="Arial"/>
        </w:rPr>
        <w:t>.</w:t>
      </w:r>
      <w:r w:rsidR="0037403A">
        <w:rPr>
          <w:rFonts w:cs="Arial"/>
        </w:rPr>
        <w:tab/>
        <w:t>The</w:t>
      </w:r>
      <w:r w:rsidRPr="004648DE">
        <w:rPr>
          <w:rFonts w:cs="Arial"/>
        </w:rPr>
        <w:t xml:space="preserve"> Equali</w:t>
      </w:r>
      <w:r w:rsidR="0037403A">
        <w:rPr>
          <w:rFonts w:cs="Arial"/>
        </w:rPr>
        <w:t xml:space="preserve">ties Impact Assessment is shown </w:t>
      </w:r>
      <w:r w:rsidRPr="004648DE">
        <w:rPr>
          <w:rFonts w:cs="Arial"/>
        </w:rPr>
        <w:t>in appendix t</w:t>
      </w:r>
      <w:r w:rsidR="00F11DBB">
        <w:rPr>
          <w:rFonts w:cs="Arial"/>
        </w:rPr>
        <w:t>hree</w:t>
      </w:r>
      <w:r w:rsidRPr="004648DE">
        <w:rPr>
          <w:rFonts w:cs="Arial"/>
        </w:rPr>
        <w:t>.</w:t>
      </w:r>
    </w:p>
    <w:p w:rsidR="00556B10" w:rsidRPr="004648DE" w:rsidRDefault="00556B10" w:rsidP="00556B10">
      <w:pPr>
        <w:ind w:left="360"/>
        <w:jc w:val="both"/>
        <w:rPr>
          <w:rFonts w:cs="Arial"/>
        </w:rPr>
      </w:pPr>
    </w:p>
    <w:p w:rsidR="00556B10" w:rsidRPr="000F16D1" w:rsidRDefault="00556B10" w:rsidP="000F16D1">
      <w:pPr>
        <w:jc w:val="both"/>
        <w:rPr>
          <w:rFonts w:cs="Arial"/>
          <w:b/>
        </w:rPr>
      </w:pPr>
      <w:r w:rsidRPr="004648DE">
        <w:rPr>
          <w:rFonts w:cs="Arial"/>
          <w:b/>
        </w:rPr>
        <w:t>Financial Implications</w:t>
      </w:r>
    </w:p>
    <w:p w:rsidR="00556B10" w:rsidRPr="004648DE" w:rsidRDefault="00556B10" w:rsidP="00556B10">
      <w:pPr>
        <w:ind w:left="720" w:hanging="720"/>
        <w:jc w:val="both"/>
        <w:rPr>
          <w:rFonts w:cs="Arial"/>
        </w:rPr>
      </w:pPr>
      <w:r>
        <w:rPr>
          <w:rFonts w:cs="Arial"/>
        </w:rPr>
        <w:t>10</w:t>
      </w:r>
      <w:r w:rsidRPr="004648DE">
        <w:rPr>
          <w:rFonts w:cs="Arial"/>
        </w:rPr>
        <w:t>.</w:t>
      </w:r>
      <w:r w:rsidRPr="004648DE">
        <w:rPr>
          <w:rFonts w:cs="Arial"/>
        </w:rPr>
        <w:tab/>
        <w:t xml:space="preserve">The action plan shows the financial position for the strategy. </w:t>
      </w:r>
      <w:r>
        <w:rPr>
          <w:rFonts w:cs="Arial"/>
        </w:rPr>
        <w:t>D</w:t>
      </w:r>
      <w:r w:rsidRPr="004648DE">
        <w:rPr>
          <w:rFonts w:cs="Arial"/>
        </w:rPr>
        <w:t xml:space="preserve">evelopments beyond those currently funded through the Council’s capital programme will have to be considered as part of the </w:t>
      </w:r>
      <w:r w:rsidR="0037403A">
        <w:rPr>
          <w:rFonts w:cs="Arial"/>
        </w:rPr>
        <w:t>Council’s overall budgetary process</w:t>
      </w:r>
      <w:r w:rsidRPr="004648DE">
        <w:rPr>
          <w:rFonts w:cs="Arial"/>
        </w:rPr>
        <w:t xml:space="preserve"> in the context that capital funding is likely to becoming increasingly tight.  </w:t>
      </w:r>
    </w:p>
    <w:p w:rsidR="00556B10" w:rsidRPr="004648DE" w:rsidRDefault="00556B10" w:rsidP="00556B10">
      <w:pPr>
        <w:ind w:left="720" w:hanging="720"/>
        <w:jc w:val="both"/>
        <w:rPr>
          <w:rFonts w:cs="Arial"/>
        </w:rPr>
      </w:pPr>
      <w:r w:rsidRPr="004648DE">
        <w:rPr>
          <w:rFonts w:cs="Arial"/>
        </w:rPr>
        <w:t>1</w:t>
      </w:r>
      <w:r>
        <w:rPr>
          <w:rFonts w:cs="Arial"/>
        </w:rPr>
        <w:t>1</w:t>
      </w:r>
      <w:r w:rsidRPr="004648DE">
        <w:rPr>
          <w:rFonts w:cs="Arial"/>
        </w:rPr>
        <w:t>.</w:t>
      </w:r>
      <w:r w:rsidRPr="004648DE">
        <w:rPr>
          <w:rFonts w:cs="Arial"/>
        </w:rPr>
        <w:tab/>
        <w:t xml:space="preserve">The strategy will help support applications for external funding and also for </w:t>
      </w:r>
      <w:r>
        <w:rPr>
          <w:rFonts w:cs="Arial"/>
        </w:rPr>
        <w:t xml:space="preserve">allocating </w:t>
      </w:r>
      <w:r w:rsidRPr="004648DE">
        <w:rPr>
          <w:rFonts w:cs="Arial"/>
        </w:rPr>
        <w:t>developer contributions.</w:t>
      </w:r>
    </w:p>
    <w:p w:rsidR="00556B10" w:rsidRPr="004648DE" w:rsidRDefault="00556B10" w:rsidP="00556B10">
      <w:pPr>
        <w:jc w:val="both"/>
        <w:rPr>
          <w:rFonts w:cs="Arial"/>
        </w:rPr>
      </w:pPr>
    </w:p>
    <w:p w:rsidR="00556B10" w:rsidRPr="000F16D1" w:rsidRDefault="00556B10" w:rsidP="000F16D1">
      <w:pPr>
        <w:ind w:left="360"/>
        <w:jc w:val="both"/>
        <w:rPr>
          <w:rFonts w:cs="Arial"/>
          <w:b/>
        </w:rPr>
      </w:pPr>
      <w:r w:rsidRPr="004648DE">
        <w:rPr>
          <w:rFonts w:cs="Arial"/>
          <w:b/>
        </w:rPr>
        <w:t>Legal Implications</w:t>
      </w:r>
    </w:p>
    <w:p w:rsidR="00556B10" w:rsidRDefault="00556B10" w:rsidP="00556B10">
      <w:pPr>
        <w:ind w:left="720" w:hanging="720"/>
        <w:jc w:val="both"/>
        <w:rPr>
          <w:rFonts w:cs="Arial"/>
        </w:rPr>
      </w:pPr>
      <w:r w:rsidRPr="004648DE">
        <w:rPr>
          <w:rFonts w:cs="Arial"/>
        </w:rPr>
        <w:t>1</w:t>
      </w:r>
      <w:r>
        <w:rPr>
          <w:rFonts w:cs="Arial"/>
        </w:rPr>
        <w:t>2</w:t>
      </w:r>
      <w:r w:rsidRPr="004648DE">
        <w:rPr>
          <w:rFonts w:cs="Arial"/>
        </w:rPr>
        <w:t>.</w:t>
      </w:r>
      <w:r w:rsidRPr="004648DE">
        <w:rPr>
          <w:rFonts w:cs="Arial"/>
        </w:rPr>
        <w:tab/>
        <w:t>The main legal implications are covered in the section on leases.</w:t>
      </w:r>
    </w:p>
    <w:p w:rsidR="0037403A" w:rsidRDefault="0037403A" w:rsidP="00556B10">
      <w:pPr>
        <w:ind w:left="720" w:hanging="720"/>
        <w:jc w:val="both"/>
        <w:rPr>
          <w:rFonts w:cs="Arial"/>
        </w:rPr>
      </w:pPr>
    </w:p>
    <w:p w:rsidR="0037403A" w:rsidRDefault="0037403A" w:rsidP="000F16D1">
      <w:pPr>
        <w:jc w:val="both"/>
        <w:rPr>
          <w:rFonts w:cs="Arial"/>
        </w:rPr>
      </w:pPr>
    </w:p>
    <w:p w:rsidR="0037403A" w:rsidRPr="004648DE" w:rsidRDefault="0037403A" w:rsidP="00556B10">
      <w:pPr>
        <w:ind w:left="720" w:hanging="720"/>
        <w:jc w:val="both"/>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37537" w:rsidP="00A46E98">
            <w:r>
              <w:t>Ian Brooke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37537" w:rsidP="00A159C7">
            <w:r>
              <w:t xml:space="preserve">Head of Community Services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159C7" w:rsidP="00737537">
            <w:r>
              <w:t xml:space="preserve">Community Services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737537" w:rsidP="00A46E98">
            <w:r>
              <w:t>01865 252705</w:t>
            </w:r>
            <w:r w:rsidR="00A159C7" w:rsidRPr="001356F1">
              <w:t xml:space="preserve"> </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F82778" w:rsidRPr="001356F1" w:rsidRDefault="000F16D1" w:rsidP="00A46E98">
            <w:pPr>
              <w:rPr>
                <w:rStyle w:val="Hyperlink"/>
                <w:color w:val="000000"/>
              </w:rPr>
            </w:pPr>
            <w:hyperlink r:id="rId9" w:history="1">
              <w:r w:rsidR="00737537">
                <w:rPr>
                  <w:rStyle w:val="Hyperlink"/>
                </w:rPr>
                <w:t>ibrooke@oxofrd.gov.uk</w:t>
              </w:r>
            </w:hyperlink>
            <w:r w:rsidR="00737537">
              <w:rPr>
                <w:rStyle w:val="Hyperlink"/>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F8277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004E3B5F" w:rsidRPr="004E3B5F">
              <w:rPr>
                <w:rStyle w:val="Firstpagetablebold"/>
                <w:b w:val="0"/>
              </w:rPr>
              <w:t>none</w:t>
            </w:r>
          </w:p>
        </w:tc>
      </w:tr>
    </w:tbl>
    <w:p w:rsidR="00CE4C87" w:rsidRDefault="00CE4C87" w:rsidP="0093067A"/>
    <w:p w:rsidR="00CD7905" w:rsidRDefault="00CD7905">
      <w:pPr>
        <w:spacing w:after="0"/>
        <w:rPr>
          <w:b/>
        </w:rPr>
      </w:pPr>
    </w:p>
    <w:sectPr w:rsidR="00CD7905"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E1" w:rsidRDefault="000C0EE1" w:rsidP="004A6D2F">
      <w:r>
        <w:separator/>
      </w:r>
    </w:p>
  </w:endnote>
  <w:endnote w:type="continuationSeparator" w:id="0">
    <w:p w:rsidR="000C0EE1" w:rsidRDefault="000C0EE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TB344o00">
    <w:panose1 w:val="00000000000000000000"/>
    <w:charset w:val="00"/>
    <w:family w:val="auto"/>
    <w:notTrueType/>
    <w:pitch w:val="default"/>
    <w:sig w:usb0="00000003" w:usb1="00000000" w:usb2="00000000" w:usb3="00000000" w:csb0="00000001" w:csb1="00000000"/>
  </w:font>
  <w:font w:name="TTB346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E1" w:rsidRDefault="000C0EE1" w:rsidP="004A6D2F">
      <w:r>
        <w:separator/>
      </w:r>
    </w:p>
  </w:footnote>
  <w:footnote w:type="continuationSeparator" w:id="0">
    <w:p w:rsidR="000C0EE1" w:rsidRDefault="000C0EE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82778" w:rsidP="00D5547E">
    <w:pPr>
      <w:pStyle w:val="Header"/>
      <w:jc w:val="right"/>
    </w:pPr>
    <w:r>
      <w:rPr>
        <w:noProof/>
      </w:rPr>
      <w:drawing>
        <wp:inline distT="0" distB="0" distL="0" distR="0" wp14:anchorId="42ED3E20" wp14:editId="22751E6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1E0F69"/>
    <w:multiLevelType w:val="hybridMultilevel"/>
    <w:tmpl w:val="4F2A5C0E"/>
    <w:lvl w:ilvl="0" w:tplc="0C36F3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DB6329"/>
    <w:multiLevelType w:val="hybridMultilevel"/>
    <w:tmpl w:val="637A9BD0"/>
    <w:lvl w:ilvl="0" w:tplc="7502580A">
      <w:start w:val="1"/>
      <w:numFmt w:val="decimal"/>
      <w:lvlText w:val="%1"/>
      <w:lvlJc w:val="left"/>
      <w:pPr>
        <w:tabs>
          <w:tab w:val="num" w:pos="720"/>
        </w:tabs>
        <w:ind w:left="720" w:hanging="360"/>
      </w:pPr>
      <w:rPr>
        <w:rFonts w:hint="default"/>
      </w:rPr>
    </w:lvl>
    <w:lvl w:ilvl="1" w:tplc="E304C7CE">
      <w:start w:val="1"/>
      <w:numFmt w:val="bullet"/>
      <w:lvlText w:val=""/>
      <w:lvlJc w:val="left"/>
      <w:pPr>
        <w:tabs>
          <w:tab w:val="num" w:pos="1440"/>
        </w:tabs>
        <w:ind w:left="1080" w:firstLine="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0EA92061"/>
    <w:multiLevelType w:val="hybridMultilevel"/>
    <w:tmpl w:val="B18A6974"/>
    <w:lvl w:ilvl="0" w:tplc="29DC6AE4">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0F323649"/>
    <w:multiLevelType w:val="hybridMultilevel"/>
    <w:tmpl w:val="8E247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65A66DF"/>
    <w:multiLevelType w:val="hybridMultilevel"/>
    <w:tmpl w:val="D74C01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36E478DD"/>
    <w:multiLevelType w:val="hybridMultilevel"/>
    <w:tmpl w:val="2C340DB8"/>
    <w:lvl w:ilvl="0" w:tplc="772EAF9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F46383"/>
    <w:multiLevelType w:val="hybridMultilevel"/>
    <w:tmpl w:val="31AE2648"/>
    <w:lvl w:ilvl="0" w:tplc="E3280B62">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B04BEE"/>
    <w:multiLevelType w:val="hybridMultilevel"/>
    <w:tmpl w:val="7F4886A6"/>
    <w:lvl w:ilvl="0" w:tplc="08090015">
      <w:start w:val="1"/>
      <w:numFmt w:val="upp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3">
    <w:nsid w:val="4AE27214"/>
    <w:multiLevelType w:val="hybridMultilevel"/>
    <w:tmpl w:val="9648EDB0"/>
    <w:lvl w:ilvl="0" w:tplc="406AB42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B5245DC"/>
    <w:multiLevelType w:val="hybridMultilevel"/>
    <w:tmpl w:val="79F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E6E292C"/>
    <w:multiLevelType w:val="hybridMultilevel"/>
    <w:tmpl w:val="6484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FE539DE"/>
    <w:multiLevelType w:val="hybridMultilevel"/>
    <w:tmpl w:val="C0782CCA"/>
    <w:lvl w:ilvl="0" w:tplc="767CDC1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ABA5FD8"/>
    <w:multiLevelType w:val="multilevel"/>
    <w:tmpl w:val="43D6D2FA"/>
    <w:numStyleLink w:val="StyleBulletedSymbolsymbolLeft063cmHanging063cm"/>
  </w:abstractNum>
  <w:abstractNum w:abstractNumId="4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4B479E"/>
    <w:multiLevelType w:val="hybridMultilevel"/>
    <w:tmpl w:val="841EE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DC517FD"/>
    <w:multiLevelType w:val="hybridMultilevel"/>
    <w:tmpl w:val="E6F619D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2A22831"/>
    <w:multiLevelType w:val="multilevel"/>
    <w:tmpl w:val="43D6D2FA"/>
    <w:numStyleLink w:val="StyleBulletedSymbolsymbolLeft063cmHanging063cm"/>
  </w:abstractNum>
  <w:abstractNum w:abstractNumId="44">
    <w:nsid w:val="6A02185E"/>
    <w:multiLevelType w:val="hybridMultilevel"/>
    <w:tmpl w:val="21286C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98365C6"/>
    <w:multiLevelType w:val="multilevel"/>
    <w:tmpl w:val="E67CE66C"/>
    <w:numStyleLink w:val="StyleNumberedLeft0cmHanging075cm"/>
  </w:abstractNum>
  <w:num w:numId="1">
    <w:abstractNumId w:val="38"/>
  </w:num>
  <w:num w:numId="2">
    <w:abstractNumId w:val="46"/>
  </w:num>
  <w:num w:numId="3">
    <w:abstractNumId w:val="30"/>
  </w:num>
  <w:num w:numId="4">
    <w:abstractNumId w:val="22"/>
  </w:num>
  <w:num w:numId="5">
    <w:abstractNumId w:val="40"/>
  </w:num>
  <w:num w:numId="6">
    <w:abstractNumId w:val="47"/>
  </w:num>
  <w:num w:numId="7">
    <w:abstractNumId w:val="28"/>
  </w:num>
  <w:num w:numId="8">
    <w:abstractNumId w:val="26"/>
  </w:num>
  <w:num w:numId="9">
    <w:abstractNumId w:val="14"/>
  </w:num>
  <w:num w:numId="10">
    <w:abstractNumId w:val="19"/>
  </w:num>
  <w:num w:numId="11">
    <w:abstractNumId w:val="35"/>
  </w:num>
  <w:num w:numId="12">
    <w:abstractNumId w:val="31"/>
  </w:num>
  <w:num w:numId="13">
    <w:abstractNumId w:val="10"/>
  </w:num>
  <w:num w:numId="14">
    <w:abstractNumId w:val="49"/>
  </w:num>
  <w:num w:numId="15">
    <w:abstractNumId w:val="20"/>
  </w:num>
  <w:num w:numId="16">
    <w:abstractNumId w:val="11"/>
  </w:num>
  <w:num w:numId="17">
    <w:abstractNumId w:val="39"/>
  </w:num>
  <w:num w:numId="18">
    <w:abstractNumId w:val="13"/>
  </w:num>
  <w:num w:numId="19">
    <w:abstractNumId w:val="43"/>
  </w:num>
  <w:num w:numId="20">
    <w:abstractNumId w:val="21"/>
  </w:num>
  <w:num w:numId="21">
    <w:abstractNumId w:val="27"/>
  </w:num>
  <w:num w:numId="22">
    <w:abstractNumId w:val="15"/>
  </w:num>
  <w:num w:numId="23">
    <w:abstractNumId w:val="4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44"/>
  </w:num>
  <w:num w:numId="36">
    <w:abstractNumId w:val="48"/>
  </w:num>
  <w:num w:numId="37">
    <w:abstractNumId w:val="23"/>
  </w:num>
  <w:num w:numId="38">
    <w:abstractNumId w:val="33"/>
  </w:num>
  <w:num w:numId="39">
    <w:abstractNumId w:val="12"/>
  </w:num>
  <w:num w:numId="40">
    <w:abstractNumId w:val="37"/>
  </w:num>
  <w:num w:numId="41">
    <w:abstractNumId w:val="36"/>
  </w:num>
  <w:num w:numId="42">
    <w:abstractNumId w:val="17"/>
  </w:num>
  <w:num w:numId="43">
    <w:abstractNumId w:val="32"/>
  </w:num>
  <w:num w:numId="44">
    <w:abstractNumId w:val="42"/>
  </w:num>
  <w:num w:numId="45">
    <w:abstractNumId w:val="24"/>
  </w:num>
  <w:num w:numId="46">
    <w:abstractNumId w:val="16"/>
  </w:num>
  <w:num w:numId="47">
    <w:abstractNumId w:val="41"/>
  </w:num>
  <w:num w:numId="48">
    <w:abstractNumId w:val="29"/>
  </w:num>
  <w:num w:numId="49">
    <w:abstractNumId w:val="25"/>
  </w:num>
  <w:num w:numId="5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C7"/>
    <w:rsid w:val="000117D4"/>
    <w:rsid w:val="000314D7"/>
    <w:rsid w:val="00045F8B"/>
    <w:rsid w:val="00046D2B"/>
    <w:rsid w:val="00056263"/>
    <w:rsid w:val="00064D8A"/>
    <w:rsid w:val="00064F82"/>
    <w:rsid w:val="00066510"/>
    <w:rsid w:val="00077523"/>
    <w:rsid w:val="0008540E"/>
    <w:rsid w:val="00095F18"/>
    <w:rsid w:val="000C089F"/>
    <w:rsid w:val="000C0EE1"/>
    <w:rsid w:val="000C3928"/>
    <w:rsid w:val="000C5E8E"/>
    <w:rsid w:val="000F16D1"/>
    <w:rsid w:val="000F4751"/>
    <w:rsid w:val="00102FFF"/>
    <w:rsid w:val="0010524C"/>
    <w:rsid w:val="00111FB1"/>
    <w:rsid w:val="00113418"/>
    <w:rsid w:val="001356F1"/>
    <w:rsid w:val="00136994"/>
    <w:rsid w:val="0014128E"/>
    <w:rsid w:val="00151888"/>
    <w:rsid w:val="00170A2D"/>
    <w:rsid w:val="001767A0"/>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70EC7"/>
    <w:rsid w:val="00284F85"/>
    <w:rsid w:val="00286E44"/>
    <w:rsid w:val="00290915"/>
    <w:rsid w:val="002A22E2"/>
    <w:rsid w:val="002C64F7"/>
    <w:rsid w:val="002F41F2"/>
    <w:rsid w:val="00301BF3"/>
    <w:rsid w:val="0030208D"/>
    <w:rsid w:val="00323418"/>
    <w:rsid w:val="003357BF"/>
    <w:rsid w:val="00364FAD"/>
    <w:rsid w:val="0036738F"/>
    <w:rsid w:val="0036759C"/>
    <w:rsid w:val="00367AE5"/>
    <w:rsid w:val="00367D71"/>
    <w:rsid w:val="0037403A"/>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E3B5F"/>
    <w:rsid w:val="004F20EF"/>
    <w:rsid w:val="0050321C"/>
    <w:rsid w:val="0054712D"/>
    <w:rsid w:val="00547EF6"/>
    <w:rsid w:val="00556B10"/>
    <w:rsid w:val="005570B5"/>
    <w:rsid w:val="00567E18"/>
    <w:rsid w:val="00575F5F"/>
    <w:rsid w:val="00581805"/>
    <w:rsid w:val="00585F76"/>
    <w:rsid w:val="005A34E4"/>
    <w:rsid w:val="005B17F2"/>
    <w:rsid w:val="005B7FB0"/>
    <w:rsid w:val="005C35A5"/>
    <w:rsid w:val="005C577C"/>
    <w:rsid w:val="005D0621"/>
    <w:rsid w:val="005D1E27"/>
    <w:rsid w:val="005D2A3E"/>
    <w:rsid w:val="005D442A"/>
    <w:rsid w:val="005E022E"/>
    <w:rsid w:val="005E5215"/>
    <w:rsid w:val="005F7F7E"/>
    <w:rsid w:val="0061052E"/>
    <w:rsid w:val="00614693"/>
    <w:rsid w:val="00623C2F"/>
    <w:rsid w:val="00633578"/>
    <w:rsid w:val="00637068"/>
    <w:rsid w:val="00642390"/>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537"/>
    <w:rsid w:val="00737B93"/>
    <w:rsid w:val="00745BF0"/>
    <w:rsid w:val="007615FE"/>
    <w:rsid w:val="00765D59"/>
    <w:rsid w:val="0076655C"/>
    <w:rsid w:val="007742DC"/>
    <w:rsid w:val="00791437"/>
    <w:rsid w:val="007B0C2C"/>
    <w:rsid w:val="007B278E"/>
    <w:rsid w:val="007C5C23"/>
    <w:rsid w:val="007E2A26"/>
    <w:rsid w:val="007E49C7"/>
    <w:rsid w:val="007F2348"/>
    <w:rsid w:val="00803F07"/>
    <w:rsid w:val="0080749A"/>
    <w:rsid w:val="00821FB8"/>
    <w:rsid w:val="00822ACD"/>
    <w:rsid w:val="00841D54"/>
    <w:rsid w:val="00855C66"/>
    <w:rsid w:val="00860BEE"/>
    <w:rsid w:val="00871EE4"/>
    <w:rsid w:val="008B293F"/>
    <w:rsid w:val="008B7371"/>
    <w:rsid w:val="008D3DDB"/>
    <w:rsid w:val="008F573F"/>
    <w:rsid w:val="009034EC"/>
    <w:rsid w:val="00907A83"/>
    <w:rsid w:val="0093067A"/>
    <w:rsid w:val="00933ABA"/>
    <w:rsid w:val="00941C60"/>
    <w:rsid w:val="00966103"/>
    <w:rsid w:val="00966D42"/>
    <w:rsid w:val="00971689"/>
    <w:rsid w:val="00973E90"/>
    <w:rsid w:val="00975B07"/>
    <w:rsid w:val="00980B4A"/>
    <w:rsid w:val="009E3D0A"/>
    <w:rsid w:val="009E51FC"/>
    <w:rsid w:val="009F1D28"/>
    <w:rsid w:val="009F7618"/>
    <w:rsid w:val="00A04D23"/>
    <w:rsid w:val="00A06766"/>
    <w:rsid w:val="00A13765"/>
    <w:rsid w:val="00A159C7"/>
    <w:rsid w:val="00A21B12"/>
    <w:rsid w:val="00A23F80"/>
    <w:rsid w:val="00A46E98"/>
    <w:rsid w:val="00A52DE3"/>
    <w:rsid w:val="00A6352B"/>
    <w:rsid w:val="00A701B5"/>
    <w:rsid w:val="00A714BB"/>
    <w:rsid w:val="00A92D8F"/>
    <w:rsid w:val="00AB2988"/>
    <w:rsid w:val="00AB7999"/>
    <w:rsid w:val="00AD3292"/>
    <w:rsid w:val="00AE6BAA"/>
    <w:rsid w:val="00AE7AF0"/>
    <w:rsid w:val="00B500CA"/>
    <w:rsid w:val="00B86314"/>
    <w:rsid w:val="00BA1C2E"/>
    <w:rsid w:val="00BC200B"/>
    <w:rsid w:val="00BC4756"/>
    <w:rsid w:val="00BC69A4"/>
    <w:rsid w:val="00BE0680"/>
    <w:rsid w:val="00BE305F"/>
    <w:rsid w:val="00BE7BA3"/>
    <w:rsid w:val="00BF5682"/>
    <w:rsid w:val="00BF7B09"/>
    <w:rsid w:val="00C20A95"/>
    <w:rsid w:val="00C225C8"/>
    <w:rsid w:val="00C2692F"/>
    <w:rsid w:val="00C3207C"/>
    <w:rsid w:val="00C400E1"/>
    <w:rsid w:val="00C40838"/>
    <w:rsid w:val="00C41187"/>
    <w:rsid w:val="00C63C31"/>
    <w:rsid w:val="00C757A0"/>
    <w:rsid w:val="00C760DE"/>
    <w:rsid w:val="00C82630"/>
    <w:rsid w:val="00C85B4E"/>
    <w:rsid w:val="00C907F7"/>
    <w:rsid w:val="00C92F63"/>
    <w:rsid w:val="00CA2103"/>
    <w:rsid w:val="00CB6B99"/>
    <w:rsid w:val="00CD7905"/>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0AF0"/>
    <w:rsid w:val="00E61D73"/>
    <w:rsid w:val="00E62EE0"/>
    <w:rsid w:val="00E73684"/>
    <w:rsid w:val="00E818D6"/>
    <w:rsid w:val="00E87F7A"/>
    <w:rsid w:val="00E96BD7"/>
    <w:rsid w:val="00EA0DB1"/>
    <w:rsid w:val="00EA0EE9"/>
    <w:rsid w:val="00ED52CA"/>
    <w:rsid w:val="00ED5860"/>
    <w:rsid w:val="00EE35C9"/>
    <w:rsid w:val="00EE5ECA"/>
    <w:rsid w:val="00F05ECA"/>
    <w:rsid w:val="00F11DBB"/>
    <w:rsid w:val="00F3566E"/>
    <w:rsid w:val="00F375FB"/>
    <w:rsid w:val="00F41AC1"/>
    <w:rsid w:val="00F4367A"/>
    <w:rsid w:val="00F445B1"/>
    <w:rsid w:val="00F45CD4"/>
    <w:rsid w:val="00F66DCA"/>
    <w:rsid w:val="00F74F53"/>
    <w:rsid w:val="00F7606D"/>
    <w:rsid w:val="00F81670"/>
    <w:rsid w:val="00F82024"/>
    <w:rsid w:val="00F82778"/>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A159C7"/>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A159C7"/>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A159C7"/>
    <w:rPr>
      <w:vertAlign w:val="superscript"/>
    </w:rPr>
  </w:style>
  <w:style w:type="paragraph" w:customStyle="1" w:styleId="Default">
    <w:name w:val="Default"/>
    <w:rsid w:val="00A159C7"/>
    <w:pPr>
      <w:autoSpaceDE w:val="0"/>
      <w:autoSpaceDN w:val="0"/>
      <w:adjustRightInd w:val="0"/>
    </w:pPr>
    <w:rPr>
      <w:rFonts w:cs="Arial"/>
      <w:color w:val="000000"/>
      <w:sz w:val="24"/>
      <w:szCs w:val="24"/>
    </w:rPr>
  </w:style>
  <w:style w:type="paragraph" w:customStyle="1" w:styleId="CharChar1CharCharCharCharCharCharChar">
    <w:name w:val="Char Char1 Char Char Char Char Char Char Char"/>
    <w:basedOn w:val="Normal"/>
    <w:rsid w:val="00A159C7"/>
    <w:pPr>
      <w:spacing w:after="160" w:line="240" w:lineRule="exact"/>
    </w:pPr>
    <w:rPr>
      <w:rFonts w:ascii="Verdana" w:hAnsi="Verdana"/>
      <w:color w:val="auto"/>
      <w:lang w:val="en-US" w:eastAsia="en-US"/>
    </w:rPr>
  </w:style>
  <w:style w:type="paragraph" w:customStyle="1" w:styleId="CharChar1CharCharCharCharCharCharChar0">
    <w:name w:val="Char Char1 Char Char Char Char Char Char Char"/>
    <w:basedOn w:val="Normal"/>
    <w:rsid w:val="00C92F63"/>
    <w:pPr>
      <w:spacing w:after="160" w:line="240" w:lineRule="exact"/>
    </w:pPr>
    <w:rPr>
      <w:rFonts w:ascii="Verdana" w:hAnsi="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A159C7"/>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A159C7"/>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A159C7"/>
    <w:rPr>
      <w:vertAlign w:val="superscript"/>
    </w:rPr>
  </w:style>
  <w:style w:type="paragraph" w:customStyle="1" w:styleId="Default">
    <w:name w:val="Default"/>
    <w:rsid w:val="00A159C7"/>
    <w:pPr>
      <w:autoSpaceDE w:val="0"/>
      <w:autoSpaceDN w:val="0"/>
      <w:adjustRightInd w:val="0"/>
    </w:pPr>
    <w:rPr>
      <w:rFonts w:cs="Arial"/>
      <w:color w:val="000000"/>
      <w:sz w:val="24"/>
      <w:szCs w:val="24"/>
    </w:rPr>
  </w:style>
  <w:style w:type="paragraph" w:customStyle="1" w:styleId="CharChar1CharCharCharCharCharCharChar">
    <w:name w:val="Char Char1 Char Char Char Char Char Char Char"/>
    <w:basedOn w:val="Normal"/>
    <w:rsid w:val="00A159C7"/>
    <w:pPr>
      <w:spacing w:after="160" w:line="240" w:lineRule="exact"/>
    </w:pPr>
    <w:rPr>
      <w:rFonts w:ascii="Verdana" w:hAnsi="Verdana"/>
      <w:color w:val="auto"/>
      <w:lang w:val="en-US" w:eastAsia="en-US"/>
    </w:rPr>
  </w:style>
  <w:style w:type="paragraph" w:customStyle="1" w:styleId="CharChar1CharCharCharCharCharCharChar0">
    <w:name w:val="Char Char1 Char Char Char Char Char Char Char"/>
    <w:basedOn w:val="Normal"/>
    <w:rsid w:val="00C92F63"/>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cherry@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35C4-0089-452E-818E-E8E8FC77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9298A14F.dotm</Template>
  <TotalTime>154</TotalTime>
  <Pages>4</Pages>
  <Words>1005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lucy.cherry</dc:creator>
  <cp:lastModifiedBy>Sarah.Claridge</cp:lastModifiedBy>
  <cp:revision>14</cp:revision>
  <cp:lastPrinted>2015-07-03T13:50:00Z</cp:lastPrinted>
  <dcterms:created xsi:type="dcterms:W3CDTF">2016-04-14T13:37:00Z</dcterms:created>
  <dcterms:modified xsi:type="dcterms:W3CDTF">2016-09-06T13:25:00Z</dcterms:modified>
</cp:coreProperties>
</file>